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default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default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default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default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leftChars="0" w:right="0" w:firstLine="0" w:firstLineChars="0"/>
        <w:textAlignment w:val="auto"/>
        <w:outlineLvl w:val="9"/>
        <w:rPr>
          <w:rFonts w:hint="default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leftChars="0" w:right="0" w:firstLine="0" w:firstLineChars="0"/>
        <w:textAlignment w:val="auto"/>
        <w:outlineLvl w:val="9"/>
        <w:rPr>
          <w:rFonts w:hint="default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center"/>
        <w:textAlignment w:val="auto"/>
        <w:outlineLvl w:val="9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default" w:eastAsia="仿宋_GB2312"/>
          <w:color w:val="000000"/>
          <w:sz w:val="32"/>
          <w:szCs w:val="32"/>
        </w:rPr>
        <w:t xml:space="preserve">                </w:t>
      </w:r>
    </w:p>
    <w:p>
      <w:pPr>
        <w:widowControl w:val="0"/>
        <w:ind w:firstLine="0" w:firstLineChars="0"/>
        <w:jc w:val="both"/>
        <w:rPr>
          <w:rFonts w:ascii="方正小标宋简体" w:hAnsi="宋体" w:eastAsia="方正小标宋简体"/>
          <w:kern w:val="0"/>
          <w:szCs w:val="32"/>
        </w:rPr>
      </w:pPr>
    </w:p>
    <w:p>
      <w:pPr>
        <w:widowControl w:val="0"/>
        <w:snapToGrid w:val="0"/>
        <w:ind w:firstLine="0" w:firstLineChars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龙亭区人民政府办公室</w:t>
      </w:r>
    </w:p>
    <w:p>
      <w:pPr>
        <w:widowControl w:val="0"/>
        <w:snapToGrid w:val="0"/>
        <w:ind w:firstLine="0" w:firstLineChars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关于建立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龙亭区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部门联合“双随机、一公开”</w:t>
      </w:r>
    </w:p>
    <w:p>
      <w:pPr>
        <w:widowControl w:val="0"/>
        <w:snapToGrid w:val="0"/>
        <w:ind w:firstLine="0" w:firstLineChars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监管工作联席会议制度的通知</w:t>
      </w:r>
    </w:p>
    <w:p>
      <w:pPr>
        <w:widowControl w:val="0"/>
        <w:snapToGrid w:val="0"/>
        <w:ind w:firstLine="0" w:firstLineChars="0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0" w:firstLineChars="0"/>
        <w:textAlignment w:val="auto"/>
        <w:rPr>
          <w:rFonts w:ascii="仿宋_GB2312" w:hAnsi="黑体"/>
          <w:kern w:val="0"/>
          <w:szCs w:val="32"/>
        </w:rPr>
      </w:pPr>
      <w:r>
        <w:rPr>
          <w:rFonts w:hint="eastAsia" w:ascii="仿宋_GB2312" w:hAnsi="黑体"/>
          <w:kern w:val="0"/>
          <w:szCs w:val="32"/>
        </w:rPr>
        <w:t>各乡人民政府</w:t>
      </w:r>
      <w:r>
        <w:rPr>
          <w:rFonts w:hint="eastAsia" w:ascii="仿宋_GB2312" w:hAnsi="黑体"/>
          <w:kern w:val="0"/>
          <w:szCs w:val="32"/>
          <w:lang w:eastAsia="zh-CN"/>
        </w:rPr>
        <w:t>，</w:t>
      </w:r>
      <w:r>
        <w:rPr>
          <w:rFonts w:hint="eastAsia" w:ascii="仿宋_GB2312" w:hAnsi="黑体"/>
          <w:kern w:val="0"/>
          <w:szCs w:val="32"/>
        </w:rPr>
        <w:t>各街道办事处</w:t>
      </w:r>
      <w:r>
        <w:rPr>
          <w:rFonts w:hint="eastAsia" w:ascii="仿宋_GB2312" w:hAnsi="黑体"/>
          <w:kern w:val="0"/>
          <w:szCs w:val="32"/>
          <w:lang w:eastAsia="zh-CN"/>
        </w:rPr>
        <w:t>，各有关单位</w:t>
      </w:r>
      <w:r>
        <w:rPr>
          <w:rFonts w:hint="eastAsia" w:ascii="仿宋_GB2312" w:hAnsi="黑体"/>
          <w:kern w:val="0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为贯彻落实</w:t>
      </w:r>
      <w:r>
        <w:rPr>
          <w:rFonts w:hint="eastAsia" w:ascii="Times New Roman" w:hAnsi="Times New Roman" w:eastAsia="仿宋_GB2312" w:cs="仿宋"/>
          <w:b w:val="0"/>
          <w:bCs/>
          <w:sz w:val="32"/>
          <w:szCs w:val="32"/>
        </w:rPr>
        <w:t>《河南省人民政府关于在市场监管领域全面推行部门联合“双随机、一公开”监管的实施意见》(豫政(2019)22号)</w:t>
      </w:r>
      <w:r>
        <w:rPr>
          <w:rFonts w:hint="eastAsia" w:ascii="Times New Roman" w:hAnsi="Times New Roman" w:eastAsia="仿宋_GB2312" w:cs="仿宋"/>
          <w:b w:val="0"/>
          <w:bCs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"/>
          <w:sz w:val="32"/>
          <w:szCs w:val="32"/>
        </w:rPr>
        <w:t>河南省市场监督管理局关于建立部门联合“双随机、一公开”监管工作联席会议制度的通知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豫市监</w:t>
      </w:r>
      <w:r>
        <w:rPr>
          <w:rFonts w:hint="eastAsia" w:ascii="Times New Roman" w:hAnsi="Times New Roman" w:eastAsia="仿宋_GB2312"/>
          <w:sz w:val="32"/>
          <w:szCs w:val="32"/>
        </w:rPr>
        <w:t>〔2019〕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274</w:t>
      </w:r>
      <w:r>
        <w:rPr>
          <w:rFonts w:hint="eastAsia" w:ascii="Times New Roman" w:hAnsi="Times New Roman" w:eastAsia="仿宋_GB2312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实现部门联合“双随机、一公开”监管在全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/>
          <w:sz w:val="32"/>
          <w:szCs w:val="32"/>
        </w:rPr>
        <w:t>市场监管领域全覆盖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经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政府同意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建立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龙亭区</w:t>
      </w:r>
      <w:r>
        <w:rPr>
          <w:rFonts w:hint="eastAsia" w:ascii="Times New Roman" w:hAnsi="Times New Roman" w:eastAsia="仿宋_GB2312"/>
          <w:sz w:val="32"/>
          <w:szCs w:val="32"/>
        </w:rPr>
        <w:t>部门联合“双随机、一公开”监管工作联席会议。现将有关事项通知如下：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一、联席会议组成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sz w:val="32"/>
          <w:szCs w:val="32"/>
        </w:rPr>
        <w:t>（一）联席会议召集人。</w:t>
      </w:r>
      <w:r>
        <w:rPr>
          <w:rFonts w:hint="eastAsia" w:ascii="Times New Roman" w:hAnsi="Times New Roman" w:eastAsia="仿宋_GB2312"/>
          <w:sz w:val="32"/>
          <w:szCs w:val="32"/>
        </w:rPr>
        <w:t>联席会议由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市场监督管理局主要负责同志为召集人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政务服务和</w:t>
      </w:r>
      <w:r>
        <w:rPr>
          <w:rFonts w:hint="eastAsia" w:ascii="Times New Roman" w:hAnsi="Times New Roman" w:eastAsia="仿宋_GB2312"/>
          <w:sz w:val="32"/>
          <w:szCs w:val="32"/>
        </w:rPr>
        <w:t>大数据局主要负责同志为副召集人。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sz w:val="32"/>
          <w:szCs w:val="32"/>
        </w:rPr>
        <w:t>（二）联席会议成员。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区发展和改革委、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教育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体育局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科学技术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与工业化信息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民族宗教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事务局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龙亭</w:t>
      </w:r>
      <w:r>
        <w:rPr>
          <w:rFonts w:hint="eastAsia" w:ascii="Times New Roman" w:hAnsi="Times New Roman" w:eastAsia="仿宋_GB2312"/>
          <w:sz w:val="32"/>
          <w:szCs w:val="32"/>
        </w:rPr>
        <w:t>公安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司法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财政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人力资源和社会保障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龙亭生态环境分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农业农村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商务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文化和旅游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卫生健康委、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应急管理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市场监管局、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区统计局、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金融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/>
          <w:sz w:val="32"/>
          <w:szCs w:val="32"/>
        </w:rPr>
        <w:t>局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区税务局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个单位为联席会议成员单位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联席会议成员由各成员单位分管领导担任。联席会议可根据工作需要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邀请其他相关部门参加。联席会议成员因工作变动需要调整的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由所在单位提出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联席会议确定。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sz w:val="32"/>
          <w:szCs w:val="32"/>
        </w:rPr>
        <w:t>（三）联席会议办公室。</w:t>
      </w:r>
      <w:r>
        <w:rPr>
          <w:rFonts w:hint="eastAsia" w:ascii="Times New Roman" w:hAnsi="Times New Roman" w:eastAsia="仿宋_GB2312"/>
          <w:sz w:val="32"/>
          <w:szCs w:val="32"/>
        </w:rPr>
        <w:t>联席会议办公室设在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市场监管局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负责联席会议日常工作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办公室主任由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/>
          <w:sz w:val="32"/>
          <w:szCs w:val="32"/>
        </w:rPr>
        <w:t>市场监管局分管领导担任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各成员单位相关职能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科</w:t>
      </w:r>
      <w:r>
        <w:rPr>
          <w:rFonts w:hint="eastAsia" w:ascii="Times New Roman" w:hAnsi="Times New Roman" w:eastAsia="仿宋_GB2312"/>
          <w:sz w:val="32"/>
          <w:szCs w:val="32"/>
        </w:rPr>
        <w:t>室负责人为联席会议办公室成员。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黑体" w:cs="楷体"/>
          <w:bCs/>
          <w:sz w:val="32"/>
          <w:szCs w:val="32"/>
        </w:rPr>
      </w:pPr>
      <w:r>
        <w:rPr>
          <w:rFonts w:hint="eastAsia" w:ascii="宋体" w:hAnsi="宋体" w:eastAsia="黑体" w:cs="楷体"/>
          <w:bCs/>
          <w:sz w:val="32"/>
          <w:szCs w:val="32"/>
        </w:rPr>
        <w:t>二、联席会议职责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sz w:val="32"/>
          <w:szCs w:val="32"/>
        </w:rPr>
        <w:t>（一）联席会议。</w:t>
      </w:r>
      <w:r>
        <w:rPr>
          <w:rFonts w:hint="eastAsia" w:ascii="宋体" w:hAnsi="宋体" w:eastAsia="仿宋_GB2312"/>
          <w:sz w:val="32"/>
          <w:szCs w:val="32"/>
        </w:rPr>
        <w:t>贯彻落实党中央国务院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sz w:val="32"/>
          <w:szCs w:val="32"/>
        </w:rPr>
        <w:t>省委省政府</w:t>
      </w:r>
      <w:r>
        <w:rPr>
          <w:rFonts w:hint="eastAsia" w:ascii="宋体" w:hAnsi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市委市政府</w:t>
      </w:r>
      <w:r>
        <w:rPr>
          <w:rFonts w:hint="eastAsia" w:ascii="宋体" w:hAnsi="宋体"/>
          <w:sz w:val="32"/>
          <w:szCs w:val="32"/>
          <w:lang w:val="en-US" w:eastAsia="zh-CN"/>
        </w:rPr>
        <w:t>和区区政府委</w:t>
      </w:r>
      <w:r>
        <w:rPr>
          <w:rFonts w:hint="eastAsia" w:ascii="宋体" w:hAnsi="宋体" w:eastAsia="仿宋_GB2312"/>
          <w:sz w:val="32"/>
          <w:szCs w:val="32"/>
        </w:rPr>
        <w:t>关于在市场监管领域全面推行部门联合“双随机、一公开”监管的各项决策部署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统筹推进在</w:t>
      </w:r>
      <w:r>
        <w:rPr>
          <w:rFonts w:hint="eastAsia" w:ascii="宋体" w:hAnsi="宋体"/>
          <w:sz w:val="32"/>
          <w:szCs w:val="32"/>
          <w:lang w:val="en-US" w:eastAsia="zh-CN"/>
        </w:rPr>
        <w:t>全区</w:t>
      </w:r>
      <w:r>
        <w:rPr>
          <w:rFonts w:hint="eastAsia" w:ascii="宋体" w:hAnsi="宋体" w:eastAsia="仿宋_GB2312"/>
          <w:sz w:val="32"/>
          <w:szCs w:val="32"/>
        </w:rPr>
        <w:t>市场监管领域全面推行部门联合“双随机、一公开”监管工作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研究决定重大事项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协调解决重大问题。完成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仿宋_GB2312"/>
          <w:sz w:val="32"/>
          <w:szCs w:val="32"/>
        </w:rPr>
        <w:t>委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仿宋_GB2312"/>
          <w:sz w:val="32"/>
          <w:szCs w:val="32"/>
        </w:rPr>
        <w:t>政府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  <w:lang w:val="en-US" w:eastAsia="zh-CN"/>
        </w:rPr>
        <w:t>区委区政府</w:t>
      </w:r>
      <w:r>
        <w:rPr>
          <w:rFonts w:hint="eastAsia" w:ascii="宋体" w:hAnsi="宋体" w:eastAsia="仿宋_GB2312"/>
          <w:sz w:val="32"/>
          <w:szCs w:val="32"/>
        </w:rPr>
        <w:t>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sz w:val="32"/>
          <w:szCs w:val="32"/>
        </w:rPr>
        <w:t>（二）联席会议办公室。</w:t>
      </w:r>
      <w:r>
        <w:rPr>
          <w:rFonts w:hint="eastAsia" w:ascii="宋体" w:hAnsi="宋体" w:eastAsia="仿宋_GB2312"/>
          <w:sz w:val="32"/>
          <w:szCs w:val="32"/>
        </w:rPr>
        <w:t>承担联席会议日常工作。负责指导、检查、督促各有关单位贯彻落实党中央国务院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sz w:val="32"/>
          <w:szCs w:val="32"/>
        </w:rPr>
        <w:t>省委省政府</w:t>
      </w:r>
      <w:r>
        <w:rPr>
          <w:rFonts w:hint="eastAsia" w:ascii="宋体" w:hAnsi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市委市政府</w:t>
      </w:r>
      <w:r>
        <w:rPr>
          <w:rFonts w:hint="eastAsia" w:ascii="宋体" w:hAnsi="宋体"/>
          <w:sz w:val="32"/>
          <w:szCs w:val="32"/>
          <w:lang w:val="en-US" w:eastAsia="zh-CN"/>
        </w:rPr>
        <w:t>和区委区政府</w:t>
      </w:r>
      <w:r>
        <w:rPr>
          <w:rFonts w:hint="eastAsia" w:ascii="宋体" w:hAnsi="宋体" w:eastAsia="仿宋_GB2312"/>
          <w:sz w:val="32"/>
          <w:szCs w:val="32"/>
        </w:rPr>
        <w:t>以及联席会议关于在市场监管领域全面推行部门联合“双随机、一公开”监管的各项决策部署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指导和督促相关政策措施制定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及时收集、汇总、分析在市场监管领域全面推行部门联合“双随机、一公开”监管工作进展情况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研究提出需要由联席会议研究解决的问题建议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协调解决工作推进过程中遇到的具体问题。负责联席会议有关会务工作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起草会议纪要。完成联席会议交办的其他工作。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黑体" w:cs="楷体"/>
          <w:bCs/>
          <w:sz w:val="32"/>
          <w:szCs w:val="32"/>
        </w:rPr>
      </w:pPr>
      <w:r>
        <w:rPr>
          <w:rFonts w:hint="eastAsia" w:ascii="宋体" w:hAnsi="宋体" w:eastAsia="黑体" w:cs="楷体"/>
          <w:bCs/>
          <w:sz w:val="32"/>
          <w:szCs w:val="32"/>
        </w:rPr>
        <w:t>三、工作机制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（一）联席会议由召集人负责召集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联席会议成员、联席会议办公室成员参加。确因工作需要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经召集人同意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可邀请有关单位列席联席会议。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（二）联席会议办公室一般每年召开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1-2</w:t>
      </w:r>
      <w:r>
        <w:rPr>
          <w:rFonts w:hint="eastAsia" w:ascii="宋体" w:hAnsi="宋体" w:eastAsia="仿宋_GB2312"/>
          <w:sz w:val="32"/>
          <w:szCs w:val="32"/>
        </w:rPr>
        <w:t>次会议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会议议程主要包括：（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宋体" w:hAnsi="宋体" w:eastAsia="仿宋_GB2312"/>
          <w:sz w:val="32"/>
          <w:szCs w:val="32"/>
        </w:rPr>
        <w:t>）听取各成员单位落实部门联合“双随机、一公开”监管工作的进展情况汇报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研究、协调、解决部门联合“双随机、一公开”监管工作中存在的问题；（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宋体" w:hAnsi="宋体" w:eastAsia="仿宋_GB2312"/>
          <w:sz w:val="32"/>
          <w:szCs w:val="32"/>
        </w:rPr>
        <w:t>）组织开展专题调研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研究提出推进部门联合“双随机、一公开”监管工作的意见建议。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（三）不定期召开专门会议。联席会议可根据收集的意见建议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经联席会议召集人同意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不定期召开会议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研究解决工作中遇到的难点问题。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黑体" w:cs="楷体"/>
          <w:bCs/>
          <w:sz w:val="32"/>
          <w:szCs w:val="32"/>
        </w:rPr>
      </w:pPr>
      <w:r>
        <w:rPr>
          <w:rFonts w:hint="eastAsia" w:ascii="宋体" w:hAnsi="宋体" w:eastAsia="黑体" w:cs="楷体"/>
          <w:bCs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（一）各成员单位要严格遵守联席会议纪律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按通知要求准备有关材料并准时参加会议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认真落实会议议定事项和工作任务。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（二）各成员单位要及时向联席会议办公室提出会议议题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互通信息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密切配合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相互支持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形成合力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充分发挥联席会议作用。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（三）各成员单位要研究制定本单位工作方案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建立“双随机、一公开”监管工作任务台账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倒排时间表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把任务和责任落实到具体单位和人员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积极推动实施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确保部门联合“双随机、一公开”监管工作取得实效。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附件：</w:t>
      </w:r>
      <w:r>
        <w:rPr>
          <w:rFonts w:hint="eastAsia" w:ascii="宋体" w:hAnsi="宋体"/>
          <w:sz w:val="32"/>
          <w:szCs w:val="32"/>
          <w:lang w:val="en-US" w:eastAsia="zh-CN"/>
        </w:rPr>
        <w:t>龙亭区</w:t>
      </w:r>
      <w:r>
        <w:rPr>
          <w:rFonts w:hint="eastAsia" w:ascii="宋体" w:hAnsi="宋体" w:eastAsia="仿宋_GB2312"/>
          <w:sz w:val="32"/>
          <w:szCs w:val="32"/>
        </w:rPr>
        <w:t>部门联合“双随机、一公开”监管工作联席会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0" w:firstLineChars="500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议成员名单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432" w:leftChars="760"/>
        <w:textAlignment w:val="auto"/>
        <w:outlineLvl w:val="9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432" w:leftChars="760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432" w:leftChars="760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432" w:leftChars="760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spacing w:line="590" w:lineRule="exact"/>
        <w:ind w:left="0" w:leftChars="0" w:firstLine="0" w:firstLineChars="0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  件</w:t>
      </w:r>
    </w:p>
    <w:p>
      <w:pPr>
        <w:spacing w:line="590" w:lineRule="exact"/>
        <w:ind w:left="0" w:leftChars="0" w:firstLine="0" w:firstLineChars="0"/>
        <w:rPr>
          <w:rFonts w:hint="eastAsia" w:ascii="宋体" w:hAnsi="宋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龙亭区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部门联合“双随机、一公开”监管工作联席会议成员名单</w:t>
      </w:r>
    </w:p>
    <w:p>
      <w:pPr>
        <w:spacing w:line="590" w:lineRule="exact"/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蔡  革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区市场监督管理局局长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副召集人：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张世德  区政务服务与大数据局长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成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员：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高向雯  区发展和改革委副主任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李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科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区教育体育局副主任科员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辛文勇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区科学技术和工业信息化局副局长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刘  谚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区民族宗教事务局副主任科员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李林琼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区公安分局副局长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王照茜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区司法局副局长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郭长松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区财政局副局长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王绪娟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区人力资源和社会保障局副局长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赵  强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区生态环境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刘东方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区农业农村局副局长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米  影  区文化和旅游局副局长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default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李  璟  区商务局副局长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张  鹏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区卫生健康委副主任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窦春蕾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区应急管理局副局长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郑三鸿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区市场监管局副局长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王亚军  区统计局副局长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张振峰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区金融工作局副局长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卢军民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龙亭税务分局副局长</w:t>
      </w:r>
    </w:p>
    <w:p/>
    <w:p/>
    <w:p/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</w:pPr>
      <w:r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  <w:u w:val="single" w:color="auto"/>
          <w:lang w:val="en-US" w:eastAsia="zh-CN"/>
        </w:rPr>
        <w:t xml:space="preserve">                                                       </w:t>
      </w:r>
    </w:p>
    <w:p>
      <w:pPr>
        <w:widowControl w:val="0"/>
        <w:wordWrap/>
        <w:adjustRightInd/>
        <w:snapToGrid/>
        <w:spacing w:before="0" w:after="0" w:line="600" w:lineRule="atLeast"/>
        <w:ind w:left="0" w:leftChars="0" w:right="0" w:firstLine="0" w:firstLineChars="0"/>
        <w:jc w:val="both"/>
        <w:textAlignment w:val="auto"/>
        <w:outlineLvl w:val="9"/>
      </w:pPr>
      <w:r>
        <w:rPr>
          <w:rFonts w:hint="eastAsia" w:ascii="Times New Roman" w:hAnsi="Times New Roman" w:eastAsia="仿宋_GB2312" w:cs="仿宋"/>
          <w:sz w:val="28"/>
          <w:szCs w:val="28"/>
          <w:u w:val="single" w:color="auto"/>
          <w:lang w:val="en-US" w:eastAsia="zh-CN"/>
        </w:rPr>
        <w:t xml:space="preserve">  龙亭区人民政府办公室                      2020年3月3日印发 </w:t>
      </w:r>
      <w:r>
        <w:rPr>
          <w:rFonts w:hint="eastAsia" w:ascii="Times New Roman" w:hAnsi="Times New Roman" w:eastAsia="仿宋_GB2312" w:cs="仿宋"/>
          <w:sz w:val="32"/>
          <w:szCs w:val="32"/>
          <w:u w:val="single" w:color="auto"/>
          <w:lang w:val="en-US" w:eastAsia="zh-CN"/>
        </w:rPr>
        <w:t xml:space="preserve">                             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68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(使用中文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(使用中文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shape id="_x0000_s2049" o:spid="_x0000_s2049" o:spt="202" type="#_x0000_t202" style="position:absolute;left:0pt;margin-top:-14.6pt;height:44.25pt;width:65.65pt;mso-position-horizontal:outside;mso-position-horizontal-relative:margin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snapToGrid w:val="0"/>
                  <w:ind w:firstLine="0" w:firstLineChars="0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AD61DF0"/>
    <w:rsid w:val="192E6286"/>
    <w:rsid w:val="2D814AAC"/>
    <w:rsid w:val="74B92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576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semiHidden/>
    <w:uiPriority w:val="0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uiPriority w:val="0"/>
    <w:rPr>
      <w:rFonts w:cs="Times New Roman"/>
      <w:sz w:val="18"/>
      <w:szCs w:val="18"/>
    </w:rPr>
  </w:style>
  <w:style w:type="paragraph" w:customStyle="1" w:styleId="10">
    <w:name w:val="批注框文本 Char Char"/>
    <w:basedOn w:val="1"/>
    <w:link w:val="11"/>
    <w:uiPriority w:val="0"/>
    <w:pPr>
      <w:spacing w:line="240" w:lineRule="auto"/>
    </w:pPr>
    <w:rPr>
      <w:kern w:val="2"/>
      <w:sz w:val="18"/>
      <w:szCs w:val="18"/>
    </w:rPr>
  </w:style>
  <w:style w:type="character" w:customStyle="1" w:styleId="11">
    <w:name w:val="批注框文本 Char Char Char Char"/>
    <w:basedOn w:val="6"/>
    <w:link w:val="10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513</Words>
  <Characters>2929</Characters>
  <Lines>24</Lines>
  <Paragraphs>6</Paragraphs>
  <TotalTime>860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2016-08-07T08:10:00Z</dcterms:created>
  <dc:creator>孙建中</dc:creator>
  <cp:lastModifiedBy>yy</cp:lastModifiedBy>
  <cp:lastPrinted>2020-07-09T10:32:19Z</cp:lastPrinted>
  <dcterms:modified xsi:type="dcterms:W3CDTF">2020-07-10T00:49:55Z</dcterms:modified>
  <dc:title>dreamsummit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