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A9" w:rsidRPr="008C1AF1" w:rsidRDefault="00B551CF">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龙亭区应急管理局</w:t>
      </w:r>
      <w:r w:rsidR="00240DA9" w:rsidRPr="008C1AF1">
        <w:rPr>
          <w:rFonts w:ascii="方正小标宋简体" w:eastAsia="方正小标宋简体" w:hAnsi="方正小标宋简体" w:cs="方正小标宋简体" w:hint="eastAsia"/>
          <w:bCs/>
          <w:sz w:val="32"/>
          <w:szCs w:val="32"/>
        </w:rPr>
        <w:t>安全生产领域行政相对人法律风险点和防控措施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3"/>
        <w:gridCol w:w="740"/>
        <w:gridCol w:w="5390"/>
        <w:gridCol w:w="2976"/>
        <w:gridCol w:w="4112"/>
        <w:gridCol w:w="699"/>
      </w:tblGrid>
      <w:tr w:rsidR="00240DA9" w:rsidTr="000D02B6">
        <w:trPr>
          <w:trHeight w:val="790"/>
        </w:trPr>
        <w:tc>
          <w:tcPr>
            <w:tcW w:w="221" w:type="pct"/>
            <w:vAlign w:val="center"/>
          </w:tcPr>
          <w:p w:rsidR="00240DA9" w:rsidRPr="000D02B6" w:rsidRDefault="00240DA9" w:rsidP="000D02B6">
            <w:pPr>
              <w:jc w:val="center"/>
              <w:rPr>
                <w:rFonts w:ascii="黑体" w:eastAsia="黑体" w:hAnsi="黑体" w:cs="黑体"/>
                <w:szCs w:val="21"/>
              </w:rPr>
            </w:pPr>
            <w:r w:rsidRPr="000D02B6">
              <w:rPr>
                <w:rFonts w:ascii="黑体" w:eastAsia="黑体" w:hAnsi="黑体" w:cs="黑体" w:hint="eastAsia"/>
                <w:szCs w:val="21"/>
              </w:rPr>
              <w:t>风险等级</w:t>
            </w:r>
          </w:p>
        </w:tc>
        <w:tc>
          <w:tcPr>
            <w:tcW w:w="254" w:type="pct"/>
            <w:vAlign w:val="center"/>
          </w:tcPr>
          <w:p w:rsidR="00240DA9" w:rsidRPr="000D02B6" w:rsidRDefault="00240DA9" w:rsidP="000D02B6">
            <w:pPr>
              <w:jc w:val="center"/>
              <w:rPr>
                <w:rFonts w:ascii="黑体" w:eastAsia="黑体" w:hAnsi="黑体" w:cs="黑体"/>
                <w:szCs w:val="21"/>
              </w:rPr>
            </w:pPr>
            <w:r w:rsidRPr="000D02B6">
              <w:rPr>
                <w:rFonts w:ascii="黑体" w:eastAsia="黑体" w:hAnsi="黑体" w:cs="黑体" w:hint="eastAsia"/>
                <w:szCs w:val="21"/>
              </w:rPr>
              <w:t>序号</w:t>
            </w:r>
          </w:p>
        </w:tc>
        <w:tc>
          <w:tcPr>
            <w:tcW w:w="1851" w:type="pct"/>
            <w:vAlign w:val="center"/>
          </w:tcPr>
          <w:p w:rsidR="00240DA9" w:rsidRPr="000D02B6" w:rsidRDefault="00240DA9" w:rsidP="000D02B6">
            <w:pPr>
              <w:jc w:val="center"/>
              <w:rPr>
                <w:rFonts w:ascii="黑体" w:eastAsia="黑体" w:hAnsi="黑体" w:cs="黑体"/>
                <w:sz w:val="24"/>
              </w:rPr>
            </w:pPr>
            <w:r w:rsidRPr="000D02B6">
              <w:rPr>
                <w:rFonts w:ascii="黑体" w:eastAsia="黑体" w:hAnsi="黑体" w:cs="黑体" w:hint="eastAsia"/>
                <w:sz w:val="24"/>
              </w:rPr>
              <w:t>违法风险点</w:t>
            </w:r>
          </w:p>
        </w:tc>
        <w:tc>
          <w:tcPr>
            <w:tcW w:w="1022" w:type="pct"/>
            <w:vAlign w:val="center"/>
          </w:tcPr>
          <w:p w:rsidR="00240DA9" w:rsidRPr="000D02B6" w:rsidRDefault="00240DA9" w:rsidP="000D02B6">
            <w:pPr>
              <w:jc w:val="center"/>
              <w:rPr>
                <w:rFonts w:ascii="黑体" w:eastAsia="黑体" w:hAnsi="黑体" w:cs="黑体"/>
                <w:sz w:val="24"/>
              </w:rPr>
            </w:pPr>
            <w:r w:rsidRPr="000D02B6">
              <w:rPr>
                <w:rFonts w:ascii="黑体" w:eastAsia="黑体" w:hAnsi="黑体" w:cs="黑体" w:hint="eastAsia"/>
                <w:sz w:val="24"/>
              </w:rPr>
              <w:t>产生原因</w:t>
            </w:r>
          </w:p>
        </w:tc>
        <w:tc>
          <w:tcPr>
            <w:tcW w:w="1412" w:type="pct"/>
            <w:vAlign w:val="center"/>
          </w:tcPr>
          <w:p w:rsidR="00240DA9" w:rsidRPr="000D02B6" w:rsidRDefault="00240DA9" w:rsidP="000D02B6">
            <w:pPr>
              <w:spacing w:line="360" w:lineRule="exact"/>
              <w:jc w:val="center"/>
              <w:rPr>
                <w:rFonts w:ascii="黑体" w:eastAsia="黑体" w:hAnsi="黑体" w:cs="黑体"/>
                <w:sz w:val="24"/>
              </w:rPr>
            </w:pPr>
            <w:r w:rsidRPr="000D02B6">
              <w:rPr>
                <w:rFonts w:ascii="黑体" w:eastAsia="黑体" w:hAnsi="黑体" w:cs="黑体" w:hint="eastAsia"/>
                <w:sz w:val="24"/>
              </w:rPr>
              <w:t>防控措施</w:t>
            </w:r>
          </w:p>
        </w:tc>
        <w:tc>
          <w:tcPr>
            <w:tcW w:w="240" w:type="pct"/>
            <w:vAlign w:val="center"/>
          </w:tcPr>
          <w:p w:rsidR="00240DA9" w:rsidRDefault="00240DA9" w:rsidP="000D02B6">
            <w:pPr>
              <w:jc w:val="center"/>
            </w:pPr>
            <w:r w:rsidRPr="000D02B6">
              <w:rPr>
                <w:rFonts w:ascii="黑体" w:eastAsia="黑体" w:hAnsi="黑体" w:cs="黑体" w:hint="eastAsia"/>
                <w:sz w:val="24"/>
              </w:rPr>
              <w:t>备注</w:t>
            </w:r>
          </w:p>
        </w:tc>
      </w:tr>
      <w:tr w:rsidR="0049013B" w:rsidRPr="00043139" w:rsidTr="001B3585">
        <w:trPr>
          <w:trHeight w:val="132"/>
        </w:trPr>
        <w:tc>
          <w:tcPr>
            <w:tcW w:w="221" w:type="pct"/>
            <w:vAlign w:val="center"/>
          </w:tcPr>
          <w:p w:rsidR="0049013B" w:rsidRPr="000D02B6" w:rsidRDefault="0049013B" w:rsidP="001B3585">
            <w:pPr>
              <w:spacing w:line="300" w:lineRule="exact"/>
              <w:jc w:val="center"/>
              <w:rPr>
                <w:rFonts w:ascii="宋体"/>
                <w:szCs w:val="21"/>
              </w:rPr>
            </w:pPr>
            <w:r>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特种作业人员未按照规定经</w:t>
            </w:r>
            <w:bookmarkStart w:id="0" w:name="_GoBack"/>
            <w:bookmarkEnd w:id="0"/>
            <w:r w:rsidRPr="000D02B6">
              <w:rPr>
                <w:rFonts w:ascii="宋体" w:hAnsi="宋体" w:cs="宋体" w:hint="eastAsia"/>
                <w:szCs w:val="21"/>
              </w:rPr>
              <w:t>专门的安全作业培训并取得相应资格，上岗作业</w:t>
            </w:r>
          </w:p>
        </w:tc>
        <w:tc>
          <w:tcPr>
            <w:tcW w:w="1022" w:type="pct"/>
            <w:vMerge w:val="restart"/>
            <w:vAlign w:val="center"/>
          </w:tcPr>
          <w:p w:rsidR="0049013B" w:rsidRPr="0049013B" w:rsidRDefault="0049013B" w:rsidP="0049013B">
            <w:pPr>
              <w:pStyle w:val="a7"/>
              <w:numPr>
                <w:ilvl w:val="0"/>
                <w:numId w:val="1"/>
              </w:numPr>
              <w:spacing w:line="400" w:lineRule="exact"/>
              <w:ind w:firstLineChars="0"/>
              <w:jc w:val="left"/>
              <w:rPr>
                <w:rFonts w:ascii="宋体" w:hAnsi="宋体" w:hint="eastAsia"/>
                <w:szCs w:val="21"/>
              </w:rPr>
            </w:pPr>
            <w:r w:rsidRPr="0049013B">
              <w:rPr>
                <w:rFonts w:ascii="宋体" w:hAnsi="宋体" w:hint="eastAsia"/>
                <w:szCs w:val="21"/>
              </w:rPr>
              <w:t>生产经营单位经济利益驱动，重生产轻安全，重效益轻管理，安全生产主体责任落实不到位。</w:t>
            </w:r>
          </w:p>
          <w:p w:rsidR="0049013B" w:rsidRPr="0049013B" w:rsidRDefault="0049013B" w:rsidP="0049013B">
            <w:pPr>
              <w:rPr>
                <w:rFonts w:ascii="宋体" w:hAnsi="宋体" w:hint="eastAsia"/>
                <w:szCs w:val="21"/>
              </w:rPr>
            </w:pPr>
            <w:r>
              <w:rPr>
                <w:rFonts w:ascii="宋体" w:hAnsi="宋体" w:hint="eastAsia"/>
                <w:szCs w:val="21"/>
              </w:rPr>
              <w:t>2.</w:t>
            </w:r>
            <w:r w:rsidRPr="0049013B">
              <w:rPr>
                <w:rFonts w:ascii="宋体" w:hAnsi="宋体" w:hint="eastAsia"/>
                <w:szCs w:val="21"/>
              </w:rPr>
              <w:t>瞒案不报、有案不立、擅自处理案源等情况导致案源流失；不按规定程序立销案。伪造证据，导致该行政处罚违法或不当；取证不全不足，导致案件无法定性量罚。</w:t>
            </w:r>
          </w:p>
          <w:p w:rsidR="0049013B" w:rsidRPr="000D02B6" w:rsidRDefault="0049013B" w:rsidP="000D02B6">
            <w:pPr>
              <w:spacing w:line="400" w:lineRule="exact"/>
              <w:jc w:val="left"/>
              <w:rPr>
                <w:rFonts w:ascii="宋体"/>
                <w:szCs w:val="21"/>
              </w:rPr>
            </w:pPr>
            <w:r>
              <w:rPr>
                <w:rFonts w:ascii="宋体" w:hAnsi="宋体" w:hint="eastAsia"/>
                <w:szCs w:val="21"/>
              </w:rPr>
              <w:t>3</w:t>
            </w:r>
            <w:r w:rsidRPr="000D02B6">
              <w:rPr>
                <w:rFonts w:ascii="宋体" w:hAnsi="宋体"/>
                <w:szCs w:val="21"/>
              </w:rPr>
              <w:t>.</w:t>
            </w:r>
            <w:r w:rsidRPr="000D02B6">
              <w:rPr>
                <w:rFonts w:ascii="宋体" w:hAnsi="宋体" w:hint="eastAsia"/>
                <w:szCs w:val="21"/>
              </w:rPr>
              <w:t>生产经营单位主要负责人安全生产意识淡薄，未认真履行安全生产法律法规规定的安全生产管理职责。</w:t>
            </w:r>
          </w:p>
          <w:p w:rsidR="0049013B" w:rsidRDefault="0049013B" w:rsidP="000D02B6">
            <w:pPr>
              <w:spacing w:line="400" w:lineRule="exact"/>
              <w:jc w:val="left"/>
              <w:rPr>
                <w:rFonts w:ascii="宋体" w:hAnsi="宋体" w:hint="eastAsia"/>
                <w:szCs w:val="21"/>
              </w:rPr>
            </w:pPr>
            <w:r>
              <w:rPr>
                <w:rFonts w:ascii="宋体" w:hAnsi="宋体" w:hint="eastAsia"/>
                <w:szCs w:val="21"/>
              </w:rPr>
              <w:t>4</w:t>
            </w:r>
            <w:r w:rsidRPr="000D02B6">
              <w:rPr>
                <w:rFonts w:ascii="宋体" w:hAnsi="宋体"/>
                <w:szCs w:val="21"/>
              </w:rPr>
              <w:t>.</w:t>
            </w:r>
            <w:r w:rsidRPr="000D02B6">
              <w:rPr>
                <w:rFonts w:ascii="宋体" w:hAnsi="宋体" w:hint="eastAsia"/>
                <w:szCs w:val="21"/>
              </w:rPr>
              <w:t>生产经营单位从业人员存在侥幸心理、麻痹心理和取巧心理，缺乏安全常识，习惯性违章操作。</w:t>
            </w:r>
          </w:p>
          <w:p w:rsidR="0049013B" w:rsidRPr="0049013B" w:rsidRDefault="0049013B" w:rsidP="0049013B">
            <w:pPr>
              <w:rPr>
                <w:rFonts w:ascii="宋体" w:hAnsi="宋体" w:hint="eastAsia"/>
                <w:szCs w:val="21"/>
              </w:rPr>
            </w:pPr>
            <w:r>
              <w:rPr>
                <w:rFonts w:ascii="宋体" w:hAnsi="宋体" w:hint="eastAsia"/>
                <w:szCs w:val="21"/>
              </w:rPr>
              <w:t>5.</w:t>
            </w:r>
            <w:r w:rsidRPr="0049013B">
              <w:rPr>
                <w:rFonts w:ascii="宋体" w:hAnsi="宋体" w:hint="eastAsia"/>
                <w:szCs w:val="21"/>
              </w:rPr>
              <w:t>随意改变行政处罚定性、种类、幅度、大案小办、小案重罚或不予处罚等；滥用行政处</w:t>
            </w:r>
            <w:r w:rsidRPr="0049013B">
              <w:rPr>
                <w:rFonts w:ascii="宋体" w:hAnsi="宋体" w:hint="eastAsia"/>
                <w:szCs w:val="21"/>
              </w:rPr>
              <w:lastRenderedPageBreak/>
              <w:t>罚自由裁量权，行政处罚畸轻畸重；不按规定监督行政处罚决定的执行等。</w:t>
            </w:r>
          </w:p>
          <w:p w:rsidR="0049013B" w:rsidRPr="000D02B6" w:rsidRDefault="0049013B" w:rsidP="000D02B6">
            <w:pPr>
              <w:spacing w:line="400" w:lineRule="exact"/>
              <w:jc w:val="left"/>
              <w:rPr>
                <w:rFonts w:ascii="宋体"/>
                <w:szCs w:val="21"/>
              </w:rPr>
            </w:pPr>
            <w:r>
              <w:rPr>
                <w:rFonts w:ascii="宋体" w:hAnsi="宋体" w:hint="eastAsia"/>
                <w:szCs w:val="21"/>
              </w:rPr>
              <w:t>6</w:t>
            </w:r>
            <w:r w:rsidRPr="000D02B6">
              <w:rPr>
                <w:rFonts w:ascii="宋体" w:hAnsi="宋体"/>
                <w:szCs w:val="21"/>
              </w:rPr>
              <w:t>.</w:t>
            </w:r>
            <w:r w:rsidRPr="000D02B6">
              <w:rPr>
                <w:rFonts w:ascii="宋体" w:hAnsi="宋体" w:hint="eastAsia"/>
                <w:szCs w:val="21"/>
              </w:rPr>
              <w:t>其他原因：行政机关执法不严、处罚不力；相关规划设计不合理，如部分特种作业岗位培训缺位，部分特种工操作证难办理。</w:t>
            </w:r>
          </w:p>
        </w:tc>
        <w:tc>
          <w:tcPr>
            <w:tcW w:w="1412" w:type="pct"/>
            <w:vMerge w:val="restart"/>
          </w:tcPr>
          <w:p w:rsidR="0049013B" w:rsidRPr="000D02B6" w:rsidRDefault="0049013B" w:rsidP="000D02B6">
            <w:pPr>
              <w:spacing w:line="360" w:lineRule="exact"/>
              <w:rPr>
                <w:rFonts w:ascii="宋体"/>
                <w:szCs w:val="21"/>
              </w:rPr>
            </w:pPr>
            <w:r w:rsidRPr="000D02B6">
              <w:rPr>
                <w:rFonts w:ascii="宋体" w:hAnsi="宋体"/>
                <w:szCs w:val="21"/>
              </w:rPr>
              <w:lastRenderedPageBreak/>
              <w:t>1.</w:t>
            </w:r>
            <w:r w:rsidRPr="000D02B6">
              <w:rPr>
                <w:rFonts w:ascii="宋体" w:hAnsi="宋体" w:hint="eastAsia"/>
                <w:szCs w:val="21"/>
              </w:rPr>
              <w:t>行政机关</w:t>
            </w:r>
          </w:p>
          <w:p w:rsidR="0049013B" w:rsidRDefault="0049013B" w:rsidP="000D02B6">
            <w:pPr>
              <w:spacing w:line="360" w:lineRule="exact"/>
              <w:rPr>
                <w:rFonts w:ascii="宋体" w:hAnsi="宋体" w:hint="eastAsia"/>
                <w:szCs w:val="21"/>
              </w:rPr>
            </w:pPr>
            <w:r w:rsidRPr="000D02B6">
              <w:rPr>
                <w:rFonts w:ascii="宋体" w:hAnsi="宋体" w:hint="eastAsia"/>
                <w:szCs w:val="21"/>
              </w:rPr>
              <w:t>（</w:t>
            </w:r>
            <w:r w:rsidRPr="000D02B6">
              <w:rPr>
                <w:rFonts w:ascii="宋体" w:hAnsi="宋体"/>
                <w:szCs w:val="21"/>
              </w:rPr>
              <w:t>1</w:t>
            </w:r>
            <w:r w:rsidRPr="000D02B6">
              <w:rPr>
                <w:rFonts w:ascii="宋体" w:hAnsi="宋体" w:hint="eastAsia"/>
                <w:szCs w:val="21"/>
              </w:rPr>
              <w:t>）强化安全宣传，深入生产经营单位开展安全生产法律知识宣传教育，扩大安全生产法律知识普及面；</w:t>
            </w:r>
          </w:p>
          <w:p w:rsidR="0049013B" w:rsidRDefault="0049013B" w:rsidP="0049013B">
            <w:pPr>
              <w:rPr>
                <w:rFonts w:ascii="宋体" w:hAnsi="宋体" w:hint="eastAsia"/>
                <w:szCs w:val="21"/>
              </w:rPr>
            </w:pPr>
            <w:r>
              <w:rPr>
                <w:rFonts w:ascii="宋体" w:hAnsi="宋体" w:hint="eastAsia"/>
                <w:szCs w:val="21"/>
              </w:rPr>
              <w:t>（2）</w:t>
            </w:r>
            <w:r w:rsidRPr="0049013B">
              <w:rPr>
                <w:rFonts w:ascii="宋体" w:hAnsi="宋体" w:hint="eastAsia"/>
                <w:szCs w:val="21"/>
              </w:rPr>
              <w:t>严格审批程序。立案、销案的采取履行审批手续，立案、销案、对案件线索的终止调查必须上报主管局长、局长审批。对案件来源、批转及处置结果进行登记，部门领导要签字把关，主管副局长每季度监督检查。</w:t>
            </w:r>
          </w:p>
          <w:p w:rsidR="0049013B" w:rsidRPr="0049013B" w:rsidRDefault="0049013B" w:rsidP="0049013B">
            <w:pPr>
              <w:rPr>
                <w:rFonts w:ascii="宋体" w:hAnsi="宋体" w:hint="eastAsia"/>
                <w:szCs w:val="21"/>
              </w:rPr>
            </w:pPr>
            <w:r>
              <w:rPr>
                <w:rFonts w:ascii="宋体" w:hAnsi="宋体" w:hint="eastAsia"/>
                <w:szCs w:val="21"/>
              </w:rPr>
              <w:t>（3）</w:t>
            </w:r>
            <w:r w:rsidRPr="0049013B">
              <w:rPr>
                <w:rFonts w:ascii="宋体" w:hAnsi="宋体" w:hint="eastAsia"/>
                <w:szCs w:val="21"/>
              </w:rPr>
              <w:t>严格执法监督。坚持2人以上办案，调查结果办案人员分别签字，互相监督，互相把关，办案领导对调查取证的过程和内容进行把关，和知情人、举报人核实相关情况。</w:t>
            </w:r>
          </w:p>
          <w:p w:rsidR="0049013B" w:rsidRPr="000D02B6" w:rsidRDefault="0049013B" w:rsidP="000D02B6">
            <w:pPr>
              <w:spacing w:line="360" w:lineRule="exact"/>
              <w:rPr>
                <w:rFonts w:ascii="宋体"/>
                <w:szCs w:val="21"/>
              </w:rPr>
            </w:pPr>
            <w:r w:rsidRPr="000D02B6">
              <w:rPr>
                <w:rFonts w:ascii="宋体" w:hAnsi="宋体" w:hint="eastAsia"/>
                <w:szCs w:val="21"/>
              </w:rPr>
              <w:t>（</w:t>
            </w:r>
            <w:r>
              <w:rPr>
                <w:rFonts w:ascii="宋体" w:hAnsi="宋体" w:hint="eastAsia"/>
                <w:szCs w:val="21"/>
              </w:rPr>
              <w:t>4</w:t>
            </w:r>
            <w:r w:rsidRPr="000D02B6">
              <w:rPr>
                <w:rFonts w:ascii="宋体" w:hAnsi="宋体" w:hint="eastAsia"/>
                <w:szCs w:val="21"/>
              </w:rPr>
              <w:t>）强化队伍建设。充实执法力量，注重加大执法人员</w:t>
            </w:r>
            <w:r w:rsidRPr="002E63A2">
              <w:rPr>
                <w:rFonts w:ascii="宋体" w:hAnsi="宋体" w:hint="eastAsia"/>
                <w:szCs w:val="21"/>
              </w:rPr>
              <w:t>的执法</w:t>
            </w:r>
            <w:r w:rsidRPr="000D02B6">
              <w:rPr>
                <w:rFonts w:ascii="宋体" w:hAnsi="宋体" w:hint="eastAsia"/>
                <w:szCs w:val="21"/>
              </w:rPr>
              <w:t>业务培训，规范执法程序，提高服务型行政执法的意识和水平；</w:t>
            </w:r>
          </w:p>
          <w:p w:rsidR="0049013B" w:rsidRDefault="0049013B" w:rsidP="000D02B6">
            <w:pPr>
              <w:spacing w:line="360" w:lineRule="exact"/>
              <w:rPr>
                <w:rFonts w:ascii="宋体" w:hAnsi="宋体" w:hint="eastAsia"/>
                <w:szCs w:val="21"/>
              </w:rPr>
            </w:pPr>
            <w:r w:rsidRPr="000D02B6">
              <w:rPr>
                <w:rFonts w:ascii="宋体" w:hAnsi="宋体" w:hint="eastAsia"/>
                <w:szCs w:val="21"/>
              </w:rPr>
              <w:t>（</w:t>
            </w:r>
            <w:r>
              <w:rPr>
                <w:rFonts w:ascii="宋体" w:hAnsi="宋体" w:hint="eastAsia"/>
                <w:szCs w:val="21"/>
              </w:rPr>
              <w:t>5</w:t>
            </w:r>
            <w:r w:rsidRPr="000D02B6">
              <w:rPr>
                <w:rFonts w:ascii="宋体" w:hAnsi="宋体" w:hint="eastAsia"/>
                <w:szCs w:val="21"/>
              </w:rPr>
              <w:t>）完善执法方式。结合实际，探索执法方式，做到行政处罚和行政指导相结合、处罚和教育相结合。</w:t>
            </w:r>
          </w:p>
          <w:p w:rsidR="0049013B" w:rsidRDefault="0049013B" w:rsidP="0049013B">
            <w:pPr>
              <w:rPr>
                <w:rFonts w:ascii="宋体" w:hAnsi="宋体" w:hint="eastAsia"/>
                <w:szCs w:val="21"/>
              </w:rPr>
            </w:pPr>
            <w:r>
              <w:rPr>
                <w:rFonts w:ascii="宋体" w:hAnsi="宋体" w:hint="eastAsia"/>
                <w:szCs w:val="21"/>
              </w:rPr>
              <w:t>（6）</w:t>
            </w:r>
            <w:r w:rsidRPr="0049013B">
              <w:rPr>
                <w:rFonts w:ascii="宋体" w:hAnsi="宋体" w:hint="eastAsia"/>
                <w:szCs w:val="21"/>
              </w:rPr>
              <w:t>严格执法监督。坚持2人以上办案，调查结果办案人员分别签字，互相监督，互相把关，办案领导对调查取证的过程和内容</w:t>
            </w:r>
            <w:r w:rsidRPr="0049013B">
              <w:rPr>
                <w:rFonts w:ascii="宋体" w:hAnsi="宋体" w:hint="eastAsia"/>
                <w:szCs w:val="21"/>
              </w:rPr>
              <w:lastRenderedPageBreak/>
              <w:t>进行把关，和知情人、举报人核实相关情况。</w:t>
            </w:r>
          </w:p>
          <w:p w:rsidR="0049013B" w:rsidRDefault="0049013B" w:rsidP="0049013B">
            <w:pPr>
              <w:rPr>
                <w:rFonts w:ascii="宋体" w:hAnsi="宋体" w:hint="eastAsia"/>
                <w:sz w:val="32"/>
                <w:szCs w:val="32"/>
              </w:rPr>
            </w:pPr>
            <w:r w:rsidRPr="0049013B">
              <w:rPr>
                <w:rFonts w:ascii="宋体" w:hAnsi="宋体" w:hint="eastAsia"/>
                <w:szCs w:val="21"/>
              </w:rPr>
              <w:t>（</w:t>
            </w:r>
            <w:r>
              <w:rPr>
                <w:rFonts w:ascii="宋体" w:hAnsi="宋体" w:hint="eastAsia"/>
                <w:szCs w:val="21"/>
              </w:rPr>
              <w:t>7</w:t>
            </w:r>
            <w:r w:rsidRPr="0049013B">
              <w:rPr>
                <w:rFonts w:ascii="宋体" w:hAnsi="宋体" w:hint="eastAsia"/>
                <w:szCs w:val="21"/>
              </w:rPr>
              <w:t>）坚持集体定案。坚持法律法规适用、自由裁量权使用的集体研究制</w:t>
            </w:r>
            <w:r w:rsidRPr="00CD24CD">
              <w:rPr>
                <w:rFonts w:ascii="宋体" w:hAnsi="宋体" w:hint="eastAsia"/>
                <w:sz w:val="32"/>
                <w:szCs w:val="32"/>
              </w:rPr>
              <w:t>。</w:t>
            </w:r>
          </w:p>
          <w:p w:rsidR="0049013B" w:rsidRPr="0049013B" w:rsidRDefault="0049013B" w:rsidP="0049013B">
            <w:pPr>
              <w:rPr>
                <w:rFonts w:ascii="宋体" w:hAnsi="宋体"/>
                <w:sz w:val="32"/>
                <w:szCs w:val="32"/>
              </w:rPr>
            </w:pPr>
            <w:r w:rsidRPr="000D02B6">
              <w:rPr>
                <w:rFonts w:ascii="宋体" w:hAnsi="宋体"/>
                <w:szCs w:val="21"/>
              </w:rPr>
              <w:t>2.</w:t>
            </w:r>
            <w:r w:rsidRPr="000D02B6">
              <w:rPr>
                <w:rFonts w:ascii="宋体" w:hAnsi="宋体" w:hint="eastAsia"/>
                <w:szCs w:val="21"/>
              </w:rPr>
              <w:t>行政相对人</w:t>
            </w:r>
          </w:p>
          <w:p w:rsidR="0049013B" w:rsidRPr="000D02B6" w:rsidRDefault="0049013B" w:rsidP="000D02B6">
            <w:pPr>
              <w:spacing w:line="360" w:lineRule="exact"/>
              <w:rPr>
                <w:rFonts w:ascii="宋体"/>
                <w:szCs w:val="21"/>
              </w:rPr>
            </w:pPr>
            <w:r w:rsidRPr="000D02B6">
              <w:rPr>
                <w:rFonts w:ascii="宋体" w:hAnsi="宋体" w:hint="eastAsia"/>
                <w:szCs w:val="21"/>
              </w:rPr>
              <w:t>（</w:t>
            </w:r>
            <w:r w:rsidRPr="000D02B6">
              <w:rPr>
                <w:rFonts w:ascii="宋体" w:hAnsi="宋体"/>
                <w:szCs w:val="21"/>
              </w:rPr>
              <w:t>1</w:t>
            </w:r>
            <w:r w:rsidRPr="000D02B6">
              <w:rPr>
                <w:rFonts w:ascii="宋体" w:hAnsi="宋体" w:hint="eastAsia"/>
                <w:szCs w:val="21"/>
              </w:rPr>
              <w:t>）深入学习安全生产法律法规，严格落实安全生产主体责任，建立健全安全生产责任制，构建安全生产风险辨识管控与隐患排查治理双重预防体系，管控生产经营过程中的违法风险点。</w:t>
            </w:r>
          </w:p>
          <w:p w:rsidR="0049013B" w:rsidRPr="000D02B6" w:rsidRDefault="0049013B" w:rsidP="002E63A2">
            <w:pPr>
              <w:spacing w:line="360" w:lineRule="exact"/>
              <w:rPr>
                <w:rFonts w:ascii="宋体"/>
                <w:szCs w:val="21"/>
              </w:rPr>
            </w:pPr>
            <w:r w:rsidRPr="000D02B6">
              <w:rPr>
                <w:rFonts w:ascii="宋体" w:hAnsi="宋体" w:hint="eastAsia"/>
                <w:szCs w:val="21"/>
              </w:rPr>
              <w:t>（</w:t>
            </w:r>
            <w:r w:rsidRPr="002E63A2">
              <w:rPr>
                <w:rFonts w:ascii="宋体" w:hAnsi="宋体"/>
                <w:szCs w:val="21"/>
              </w:rPr>
              <w:t>2</w:t>
            </w:r>
            <w:r w:rsidRPr="002E63A2">
              <w:rPr>
                <w:rFonts w:ascii="宋体" w:hAnsi="宋体" w:hint="eastAsia"/>
                <w:szCs w:val="21"/>
              </w:rPr>
              <w:t>）加强主要负责人、安全生产管理人员、特种作业人员和其他员工</w:t>
            </w:r>
            <w:r w:rsidRPr="002E63A2">
              <w:rPr>
                <w:rFonts w:ascii="宋体" w:hAnsi="宋体"/>
                <w:szCs w:val="21"/>
              </w:rPr>
              <w:t>(</w:t>
            </w:r>
            <w:r w:rsidRPr="002E63A2">
              <w:rPr>
                <w:rFonts w:ascii="宋体" w:hAnsi="宋体" w:hint="eastAsia"/>
                <w:szCs w:val="21"/>
              </w:rPr>
              <w:t>新入职人员、换岗人员、重新上岗人员</w:t>
            </w:r>
            <w:r w:rsidRPr="002E63A2">
              <w:rPr>
                <w:rFonts w:ascii="宋体" w:hAnsi="宋体"/>
                <w:szCs w:val="21"/>
              </w:rPr>
              <w:t>)</w:t>
            </w:r>
            <w:r w:rsidRPr="002E63A2">
              <w:rPr>
                <w:rFonts w:ascii="宋体" w:hAnsi="宋体" w:hint="eastAsia"/>
                <w:szCs w:val="21"/>
              </w:rPr>
              <w:t>的安全生产培训，</w:t>
            </w:r>
            <w:r w:rsidRPr="000D02B6">
              <w:rPr>
                <w:rFonts w:ascii="宋体" w:hAnsi="宋体" w:hint="eastAsia"/>
                <w:szCs w:val="21"/>
              </w:rPr>
              <w:t>提高企业职工安全生产技能，掌握必要的安全生产知识、辩识危险、危害因素及其预防</w:t>
            </w:r>
          </w:p>
          <w:p w:rsidR="0049013B" w:rsidRDefault="0049013B" w:rsidP="000D02B6">
            <w:pPr>
              <w:spacing w:line="360" w:lineRule="exact"/>
              <w:rPr>
                <w:rFonts w:ascii="宋体" w:hAnsi="宋体" w:hint="eastAsia"/>
                <w:szCs w:val="21"/>
              </w:rPr>
            </w:pPr>
            <w:r w:rsidRPr="000D02B6">
              <w:rPr>
                <w:rFonts w:ascii="宋体" w:hAnsi="宋体" w:hint="eastAsia"/>
                <w:szCs w:val="21"/>
              </w:rPr>
              <w:t>措施，熟悉岗位职责以及安全生产规章制度、操作规程、劳动纪律等。</w:t>
            </w:r>
          </w:p>
          <w:p w:rsidR="0049013B" w:rsidRPr="000D02B6" w:rsidRDefault="0049013B" w:rsidP="000D02B6">
            <w:pPr>
              <w:spacing w:line="360" w:lineRule="exact"/>
              <w:rPr>
                <w:rFonts w:ascii="宋体"/>
                <w:szCs w:val="21"/>
              </w:rPr>
            </w:pPr>
            <w:r w:rsidRPr="000D02B6">
              <w:rPr>
                <w:rFonts w:ascii="宋体" w:hAnsi="宋体" w:hint="eastAsia"/>
                <w:szCs w:val="21"/>
              </w:rPr>
              <w:t>（</w:t>
            </w:r>
            <w:r>
              <w:rPr>
                <w:rFonts w:ascii="宋体" w:hAnsi="宋体" w:hint="eastAsia"/>
                <w:szCs w:val="21"/>
              </w:rPr>
              <w:t>4</w:t>
            </w:r>
            <w:r w:rsidRPr="000D02B6">
              <w:rPr>
                <w:rFonts w:ascii="宋体" w:hAnsi="宋体" w:hint="eastAsia"/>
                <w:szCs w:val="21"/>
              </w:rPr>
              <w:t>）建立事故隐患排查治理制度，落实事故隐患自查、自改、自报工作机制，制订本单位事故隐患排查治理细则，明确各部门、各岗位、各场所、各设备设施的排查范围和要求。采取技术、管理措施，及时发现并消除事故隐患，并登记建档。</w:t>
            </w:r>
          </w:p>
          <w:p w:rsidR="0049013B" w:rsidRPr="000D02B6" w:rsidRDefault="0049013B" w:rsidP="000D02B6">
            <w:pPr>
              <w:spacing w:line="360" w:lineRule="exact"/>
              <w:rPr>
                <w:rFonts w:ascii="宋体"/>
                <w:szCs w:val="21"/>
              </w:rPr>
            </w:pPr>
            <w:r w:rsidRPr="000D02B6">
              <w:rPr>
                <w:rFonts w:ascii="宋体" w:hAnsi="宋体"/>
                <w:szCs w:val="21"/>
              </w:rPr>
              <w:t>(4)</w:t>
            </w:r>
            <w:r w:rsidRPr="000D02B6">
              <w:rPr>
                <w:rFonts w:ascii="宋体" w:hAnsi="宋体" w:hint="eastAsia"/>
                <w:szCs w:val="21"/>
              </w:rPr>
              <w:t>制定</w:t>
            </w:r>
            <w:r w:rsidRPr="002E63A2">
              <w:rPr>
                <w:rFonts w:ascii="宋体" w:hAnsi="宋体" w:hint="eastAsia"/>
                <w:szCs w:val="21"/>
              </w:rPr>
              <w:t>生产安全事故</w:t>
            </w:r>
            <w:r w:rsidRPr="000D02B6">
              <w:rPr>
                <w:rFonts w:ascii="宋体" w:hAnsi="宋体" w:hint="eastAsia"/>
                <w:szCs w:val="21"/>
              </w:rPr>
              <w:t>应急预案并定期组织演练，提高企业职工应急处置能力。</w:t>
            </w:r>
          </w:p>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652"/>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2</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未在有较大危险因素的生产经营场所和有关设施、设备上设置明显的安全警示标志</w:t>
            </w:r>
          </w:p>
        </w:tc>
        <w:tc>
          <w:tcPr>
            <w:tcW w:w="1022" w:type="pct"/>
            <w:vMerge/>
            <w:vAlign w:val="center"/>
          </w:tcPr>
          <w:p w:rsidR="0049013B" w:rsidRPr="000D02B6" w:rsidRDefault="0049013B" w:rsidP="000D02B6">
            <w:pPr>
              <w:spacing w:line="300" w:lineRule="exact"/>
              <w:jc w:val="center"/>
              <w:rPr>
                <w:rFonts w:ascii="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308"/>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3</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未建立事故隐患排查治理制度</w:t>
            </w:r>
          </w:p>
        </w:tc>
        <w:tc>
          <w:tcPr>
            <w:tcW w:w="1022" w:type="pct"/>
            <w:vMerge/>
            <w:vAlign w:val="center"/>
          </w:tcPr>
          <w:p w:rsidR="0049013B" w:rsidRPr="000D02B6" w:rsidRDefault="0049013B" w:rsidP="000D02B6">
            <w:pPr>
              <w:spacing w:line="300" w:lineRule="exact"/>
              <w:jc w:val="left"/>
              <w:rPr>
                <w:rFonts w:ascii="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623"/>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4</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未将事故隐患排查治理情况如实记录或者未向从业人员通报</w:t>
            </w:r>
          </w:p>
        </w:tc>
        <w:tc>
          <w:tcPr>
            <w:tcW w:w="1022" w:type="pct"/>
            <w:vMerge/>
            <w:vAlign w:val="center"/>
          </w:tcPr>
          <w:p w:rsidR="0049013B" w:rsidRPr="000D02B6" w:rsidRDefault="0049013B" w:rsidP="000D02B6">
            <w:pPr>
              <w:spacing w:line="300" w:lineRule="exact"/>
              <w:jc w:val="center"/>
              <w:rPr>
                <w:rFonts w:ascii="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689"/>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5</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安全设备的安装、使用、检测和报废不符合国家标准或行业标准</w:t>
            </w:r>
          </w:p>
        </w:tc>
        <w:tc>
          <w:tcPr>
            <w:tcW w:w="1022" w:type="pct"/>
            <w:vMerge/>
            <w:vAlign w:val="center"/>
          </w:tcPr>
          <w:p w:rsidR="0049013B" w:rsidRPr="000D02B6" w:rsidRDefault="0049013B" w:rsidP="000D02B6">
            <w:pPr>
              <w:spacing w:line="300" w:lineRule="exact"/>
              <w:jc w:val="center"/>
              <w:rPr>
                <w:rFonts w:ascii="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696"/>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6</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宋体" w:hint="eastAsia"/>
                <w:szCs w:val="21"/>
              </w:rPr>
              <w:t>生产经营单位将生产经营项目、场所、设备发包或者出租给不具备安全生产条件或者相应资质的单位或者个人</w:t>
            </w:r>
          </w:p>
        </w:tc>
        <w:tc>
          <w:tcPr>
            <w:tcW w:w="1022" w:type="pct"/>
            <w:vMerge/>
            <w:vAlign w:val="center"/>
          </w:tcPr>
          <w:p w:rsidR="0049013B" w:rsidRPr="000D02B6" w:rsidRDefault="0049013B" w:rsidP="000D02B6">
            <w:pPr>
              <w:spacing w:line="300" w:lineRule="exact"/>
              <w:jc w:val="center"/>
              <w:rPr>
                <w:rFonts w:ascii="宋体" w:cs="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394"/>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7</w:t>
            </w:r>
          </w:p>
        </w:tc>
        <w:tc>
          <w:tcPr>
            <w:tcW w:w="1851" w:type="pct"/>
            <w:vAlign w:val="center"/>
          </w:tcPr>
          <w:p w:rsidR="0049013B" w:rsidRPr="000D02B6" w:rsidRDefault="0049013B" w:rsidP="000D02B6">
            <w:pPr>
              <w:spacing w:line="300" w:lineRule="exact"/>
              <w:rPr>
                <w:rFonts w:ascii="宋体" w:cs="宋体"/>
                <w:szCs w:val="21"/>
              </w:rPr>
            </w:pPr>
            <w:r w:rsidRPr="000D02B6">
              <w:rPr>
                <w:rFonts w:ascii="宋体" w:hAnsi="宋体" w:cs="宋体" w:hint="eastAsia"/>
                <w:szCs w:val="21"/>
              </w:rPr>
              <w:t>未经许可非法生产、经营危险物品</w:t>
            </w:r>
          </w:p>
        </w:tc>
        <w:tc>
          <w:tcPr>
            <w:tcW w:w="1022" w:type="pct"/>
            <w:vMerge/>
          </w:tcPr>
          <w:p w:rsidR="0049013B" w:rsidRPr="000D02B6" w:rsidRDefault="0049013B" w:rsidP="000D02B6">
            <w:pPr>
              <w:spacing w:line="300" w:lineRule="exact"/>
              <w:rPr>
                <w:rFonts w:ascii="宋体" w:cs="宋体"/>
                <w:szCs w:val="21"/>
              </w:rPr>
            </w:pPr>
          </w:p>
        </w:tc>
        <w:tc>
          <w:tcPr>
            <w:tcW w:w="1412" w:type="pct"/>
            <w:vMerge/>
            <w:vAlign w:val="center"/>
          </w:tcPr>
          <w:p w:rsidR="0049013B" w:rsidRPr="000D02B6" w:rsidRDefault="0049013B" w:rsidP="000D02B6">
            <w:pPr>
              <w:spacing w:line="360" w:lineRule="exact"/>
              <w:rPr>
                <w:rFonts w:ascii="宋体" w:cs="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870"/>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8</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未按照规定对从业人员、被派遣劳动者、实习学生进行安全生产教育和培训，或者未按照规定如实告知有关安全生产事项</w:t>
            </w:r>
          </w:p>
        </w:tc>
        <w:tc>
          <w:tcPr>
            <w:tcW w:w="1022" w:type="pct"/>
            <w:vMerge/>
            <w:vAlign w:val="center"/>
          </w:tcPr>
          <w:p w:rsidR="0049013B" w:rsidRPr="000D02B6" w:rsidRDefault="0049013B" w:rsidP="000D02B6">
            <w:pPr>
              <w:spacing w:line="300" w:lineRule="exact"/>
              <w:jc w:val="center"/>
              <w:rPr>
                <w:rFonts w:ascii="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606"/>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9</w:t>
            </w:r>
          </w:p>
        </w:tc>
        <w:tc>
          <w:tcPr>
            <w:tcW w:w="1851" w:type="pct"/>
            <w:vAlign w:val="center"/>
          </w:tcPr>
          <w:p w:rsidR="0049013B" w:rsidRPr="000D02B6" w:rsidRDefault="0049013B" w:rsidP="000D02B6">
            <w:pPr>
              <w:spacing w:line="300" w:lineRule="exact"/>
              <w:rPr>
                <w:rFonts w:ascii="宋体" w:cs="宋体"/>
                <w:szCs w:val="21"/>
              </w:rPr>
            </w:pPr>
            <w:r w:rsidRPr="000D02B6">
              <w:rPr>
                <w:rFonts w:ascii="宋体" w:hAnsi="宋体" w:cs="宋体" w:hint="eastAsia"/>
                <w:szCs w:val="21"/>
              </w:rPr>
              <w:t>金属冶炼、生产、储存、装卸危险物品的建设项目未开展安全评价</w:t>
            </w:r>
          </w:p>
        </w:tc>
        <w:tc>
          <w:tcPr>
            <w:tcW w:w="1022" w:type="pct"/>
            <w:vMerge/>
            <w:vAlign w:val="center"/>
          </w:tcPr>
          <w:p w:rsidR="0049013B" w:rsidRPr="000D02B6" w:rsidRDefault="0049013B" w:rsidP="000D02B6">
            <w:pPr>
              <w:spacing w:line="300" w:lineRule="exact"/>
              <w:jc w:val="center"/>
              <w:rPr>
                <w:rFonts w:ascii="宋体"/>
                <w:color w:val="333333"/>
                <w:szCs w:val="21"/>
              </w:rPr>
            </w:pPr>
          </w:p>
        </w:tc>
        <w:tc>
          <w:tcPr>
            <w:tcW w:w="1412" w:type="pct"/>
            <w:vMerge/>
            <w:vAlign w:val="center"/>
          </w:tcPr>
          <w:p w:rsidR="0049013B" w:rsidRPr="000D02B6" w:rsidRDefault="0049013B" w:rsidP="000D02B6">
            <w:pPr>
              <w:spacing w:line="360" w:lineRule="exact"/>
              <w:rPr>
                <w:rFonts w:ascii="宋体"/>
                <w:color w:val="333333"/>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606"/>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10</w:t>
            </w:r>
          </w:p>
        </w:tc>
        <w:tc>
          <w:tcPr>
            <w:tcW w:w="1851" w:type="pct"/>
            <w:vAlign w:val="center"/>
          </w:tcPr>
          <w:p w:rsidR="0049013B" w:rsidRPr="000D02B6" w:rsidRDefault="0049013B" w:rsidP="000D02B6">
            <w:pPr>
              <w:spacing w:line="300" w:lineRule="exact"/>
              <w:rPr>
                <w:rFonts w:ascii="宋体" w:cs="Arial"/>
                <w:color w:val="333333"/>
                <w:szCs w:val="21"/>
                <w:shd w:val="clear" w:color="auto" w:fill="FFFFFF"/>
              </w:rPr>
            </w:pPr>
            <w:r w:rsidRPr="000D02B6">
              <w:rPr>
                <w:rFonts w:ascii="宋体" w:hAnsi="宋体" w:cs="宋体" w:hint="eastAsia"/>
                <w:szCs w:val="21"/>
              </w:rPr>
              <w:t>生产经营单位的从业人员作业时违反安全生产规章制度或者操作规程。</w:t>
            </w:r>
          </w:p>
        </w:tc>
        <w:tc>
          <w:tcPr>
            <w:tcW w:w="1022" w:type="pct"/>
            <w:vMerge/>
            <w:vAlign w:val="center"/>
          </w:tcPr>
          <w:p w:rsidR="0049013B" w:rsidRPr="000D02B6" w:rsidRDefault="0049013B" w:rsidP="000D02B6">
            <w:pPr>
              <w:spacing w:line="300" w:lineRule="exact"/>
              <w:jc w:val="center"/>
              <w:rPr>
                <w:rFonts w:ascii="宋体"/>
                <w:color w:val="333333"/>
                <w:szCs w:val="21"/>
              </w:rPr>
            </w:pPr>
          </w:p>
        </w:tc>
        <w:tc>
          <w:tcPr>
            <w:tcW w:w="1412" w:type="pct"/>
            <w:vMerge/>
            <w:vAlign w:val="center"/>
          </w:tcPr>
          <w:p w:rsidR="0049013B" w:rsidRPr="000D02B6" w:rsidRDefault="0049013B" w:rsidP="000D02B6">
            <w:pPr>
              <w:spacing w:line="360" w:lineRule="exact"/>
              <w:rPr>
                <w:rFonts w:ascii="宋体"/>
                <w:color w:val="333333"/>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388"/>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11</w:t>
            </w:r>
          </w:p>
        </w:tc>
        <w:tc>
          <w:tcPr>
            <w:tcW w:w="1851" w:type="pct"/>
            <w:vAlign w:val="center"/>
          </w:tcPr>
          <w:p w:rsidR="0049013B" w:rsidRPr="000D02B6" w:rsidRDefault="0049013B" w:rsidP="000D02B6">
            <w:pPr>
              <w:spacing w:line="300" w:lineRule="exact"/>
              <w:rPr>
                <w:rFonts w:ascii="宋体"/>
                <w:szCs w:val="21"/>
              </w:rPr>
            </w:pPr>
            <w:r w:rsidRPr="000D02B6">
              <w:rPr>
                <w:rFonts w:ascii="宋体" w:hAnsi="宋体" w:cs="宋体" w:hint="eastAsia"/>
                <w:szCs w:val="21"/>
              </w:rPr>
              <w:t>未如实记录安全生产教育培训情况</w:t>
            </w:r>
          </w:p>
        </w:tc>
        <w:tc>
          <w:tcPr>
            <w:tcW w:w="1022" w:type="pct"/>
            <w:vMerge/>
            <w:vAlign w:val="center"/>
          </w:tcPr>
          <w:p w:rsidR="0049013B" w:rsidRPr="000D02B6" w:rsidRDefault="0049013B" w:rsidP="000D02B6">
            <w:pPr>
              <w:spacing w:line="300" w:lineRule="exact"/>
              <w:jc w:val="center"/>
              <w:rPr>
                <w:rFonts w:ascii="宋体"/>
                <w:szCs w:val="21"/>
              </w:rPr>
            </w:pPr>
          </w:p>
        </w:tc>
        <w:tc>
          <w:tcPr>
            <w:tcW w:w="1412" w:type="pct"/>
            <w:vMerge/>
            <w:vAlign w:val="center"/>
          </w:tcPr>
          <w:p w:rsidR="0049013B" w:rsidRPr="000D02B6" w:rsidRDefault="0049013B" w:rsidP="000D02B6">
            <w:pPr>
              <w:spacing w:line="360" w:lineRule="exact"/>
              <w:rPr>
                <w:rFonts w:ascii="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838"/>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12</w:t>
            </w:r>
          </w:p>
        </w:tc>
        <w:tc>
          <w:tcPr>
            <w:tcW w:w="1851" w:type="pct"/>
            <w:vAlign w:val="center"/>
          </w:tcPr>
          <w:p w:rsidR="0049013B" w:rsidRPr="000D02B6" w:rsidRDefault="0049013B" w:rsidP="000D02B6">
            <w:pPr>
              <w:spacing w:line="300" w:lineRule="exact"/>
              <w:rPr>
                <w:rFonts w:ascii="宋体" w:cs="宋体"/>
                <w:szCs w:val="21"/>
              </w:rPr>
            </w:pPr>
            <w:r w:rsidRPr="000D02B6">
              <w:rPr>
                <w:rFonts w:ascii="宋体" w:hAnsi="宋体" w:cs="宋体" w:hint="eastAsia"/>
                <w:szCs w:val="21"/>
              </w:rPr>
              <w:t>危险化学品、烟花爆竹、金属冶炼等生产经营单位主要负责人和安全管理人员未按照规定经考核合格</w:t>
            </w:r>
          </w:p>
        </w:tc>
        <w:tc>
          <w:tcPr>
            <w:tcW w:w="1022" w:type="pct"/>
            <w:vMerge/>
            <w:vAlign w:val="center"/>
          </w:tcPr>
          <w:p w:rsidR="0049013B" w:rsidRPr="000D02B6" w:rsidRDefault="0049013B" w:rsidP="000D02B6">
            <w:pPr>
              <w:spacing w:line="300" w:lineRule="exact"/>
              <w:jc w:val="center"/>
              <w:rPr>
                <w:rFonts w:ascii="宋体" w:cs="宋体"/>
                <w:szCs w:val="21"/>
              </w:rPr>
            </w:pPr>
          </w:p>
        </w:tc>
        <w:tc>
          <w:tcPr>
            <w:tcW w:w="1412" w:type="pct"/>
            <w:vMerge/>
            <w:vAlign w:val="center"/>
          </w:tcPr>
          <w:p w:rsidR="0049013B" w:rsidRPr="000D02B6" w:rsidRDefault="0049013B" w:rsidP="000D02B6">
            <w:pPr>
              <w:spacing w:line="360" w:lineRule="exact"/>
              <w:rPr>
                <w:rFonts w:ascii="宋体" w:cs="宋体"/>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271"/>
        </w:trPr>
        <w:tc>
          <w:tcPr>
            <w:tcW w:w="221" w:type="pct"/>
            <w:vAlign w:val="center"/>
          </w:tcPr>
          <w:p w:rsidR="0049013B" w:rsidRDefault="0049013B" w:rsidP="001B3585">
            <w:pPr>
              <w:jc w:val="center"/>
            </w:pPr>
            <w:r w:rsidRPr="00CA4023">
              <w:rPr>
                <w:rFonts w:ascii="宋体" w:hAnsi="宋体" w:hint="eastAsia"/>
                <w:szCs w:val="21"/>
              </w:rPr>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13</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仿宋_GB2312" w:hint="eastAsia"/>
                <w:szCs w:val="21"/>
              </w:rPr>
              <w:t>未制定生产安全事故应急预案</w:t>
            </w:r>
          </w:p>
        </w:tc>
        <w:tc>
          <w:tcPr>
            <w:tcW w:w="1022" w:type="pct"/>
            <w:vMerge/>
            <w:vAlign w:val="center"/>
          </w:tcPr>
          <w:p w:rsidR="0049013B" w:rsidRPr="000D02B6" w:rsidRDefault="0049013B" w:rsidP="000D02B6">
            <w:pPr>
              <w:spacing w:line="300" w:lineRule="exact"/>
              <w:jc w:val="center"/>
              <w:rPr>
                <w:rFonts w:ascii="宋体" w:cs="宋体"/>
                <w:szCs w:val="21"/>
              </w:rPr>
            </w:pPr>
          </w:p>
        </w:tc>
        <w:tc>
          <w:tcPr>
            <w:tcW w:w="1412" w:type="pct"/>
            <w:vMerge/>
            <w:vAlign w:val="center"/>
          </w:tcPr>
          <w:p w:rsidR="0049013B" w:rsidRPr="000D02B6" w:rsidRDefault="0049013B" w:rsidP="000D02B6">
            <w:pPr>
              <w:spacing w:line="360" w:lineRule="exact"/>
              <w:rPr>
                <w:rFonts w:ascii="宋体" w:cs="宋体"/>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404"/>
        </w:trPr>
        <w:tc>
          <w:tcPr>
            <w:tcW w:w="221" w:type="pct"/>
            <w:vAlign w:val="center"/>
          </w:tcPr>
          <w:p w:rsidR="0049013B" w:rsidRDefault="0049013B" w:rsidP="001B3585">
            <w:pPr>
              <w:jc w:val="center"/>
            </w:pPr>
            <w:r w:rsidRPr="00CA4023">
              <w:rPr>
                <w:rFonts w:ascii="宋体" w:hAnsi="宋体" w:hint="eastAsia"/>
                <w:szCs w:val="21"/>
              </w:rPr>
              <w:lastRenderedPageBreak/>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14</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仿宋_GB2312" w:hint="eastAsia"/>
                <w:szCs w:val="21"/>
              </w:rPr>
              <w:t>企业未建立安全生产责任制</w:t>
            </w:r>
          </w:p>
        </w:tc>
        <w:tc>
          <w:tcPr>
            <w:tcW w:w="1022" w:type="pct"/>
            <w:vMerge/>
            <w:vAlign w:val="center"/>
          </w:tcPr>
          <w:p w:rsidR="0049013B" w:rsidRPr="000D02B6" w:rsidRDefault="0049013B" w:rsidP="0049013B">
            <w:pPr>
              <w:rPr>
                <w:rFonts w:ascii="宋体" w:cs="仿宋_GB2312"/>
                <w:szCs w:val="21"/>
              </w:rPr>
            </w:pPr>
          </w:p>
        </w:tc>
        <w:tc>
          <w:tcPr>
            <w:tcW w:w="1412" w:type="pct"/>
            <w:vMerge/>
          </w:tcPr>
          <w:p w:rsidR="0049013B" w:rsidRPr="000D02B6" w:rsidRDefault="0049013B" w:rsidP="000D02B6">
            <w:pPr>
              <w:spacing w:line="360" w:lineRule="exact"/>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425"/>
        </w:trPr>
        <w:tc>
          <w:tcPr>
            <w:tcW w:w="221" w:type="pct"/>
            <w:vAlign w:val="center"/>
          </w:tcPr>
          <w:p w:rsidR="0049013B" w:rsidRDefault="0049013B" w:rsidP="001B3585">
            <w:pPr>
              <w:jc w:val="center"/>
            </w:pPr>
            <w:r w:rsidRPr="00CA4023">
              <w:rPr>
                <w:rFonts w:ascii="宋体" w:hAnsi="宋体" w:hint="eastAsia"/>
                <w:szCs w:val="21"/>
              </w:rPr>
              <w:lastRenderedPageBreak/>
              <w:t>高</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15</w:t>
            </w:r>
          </w:p>
        </w:tc>
        <w:tc>
          <w:tcPr>
            <w:tcW w:w="1851" w:type="pct"/>
            <w:vAlign w:val="center"/>
          </w:tcPr>
          <w:p w:rsidR="0049013B" w:rsidRPr="000D02B6" w:rsidRDefault="0049013B" w:rsidP="000D02B6">
            <w:pPr>
              <w:spacing w:line="300" w:lineRule="exact"/>
              <w:rPr>
                <w:rFonts w:ascii="宋体" w:cs="仿宋_GB2312"/>
                <w:sz w:val="15"/>
                <w:szCs w:val="15"/>
              </w:rPr>
            </w:pPr>
            <w:r w:rsidRPr="000D02B6">
              <w:rPr>
                <w:rFonts w:ascii="宋体" w:hAnsi="宋体" w:cs="仿宋_GB2312" w:hint="eastAsia"/>
                <w:szCs w:val="21"/>
              </w:rPr>
              <w:t>未对安全设备进行经常性维护、保养和定期检测</w:t>
            </w:r>
          </w:p>
        </w:tc>
        <w:tc>
          <w:tcPr>
            <w:tcW w:w="1022" w:type="pct"/>
            <w:vMerge/>
            <w:vAlign w:val="center"/>
          </w:tcPr>
          <w:p w:rsidR="0049013B" w:rsidRPr="000D02B6" w:rsidRDefault="0049013B" w:rsidP="000D02B6">
            <w:pPr>
              <w:spacing w:line="300" w:lineRule="exact"/>
              <w:jc w:val="center"/>
              <w:rPr>
                <w:rFonts w:ascii="宋体" w:cs="仿宋_GB2312"/>
                <w:szCs w:val="21"/>
              </w:rPr>
            </w:pPr>
          </w:p>
        </w:tc>
        <w:tc>
          <w:tcPr>
            <w:tcW w:w="1412" w:type="pct"/>
            <w:vMerge/>
            <w:vAlign w:val="center"/>
          </w:tcPr>
          <w:p w:rsidR="0049013B" w:rsidRPr="000D02B6" w:rsidRDefault="0049013B" w:rsidP="000D02B6">
            <w:pPr>
              <w:spacing w:line="360" w:lineRule="exact"/>
              <w:jc w:val="center"/>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557"/>
        </w:trPr>
        <w:tc>
          <w:tcPr>
            <w:tcW w:w="221" w:type="pct"/>
            <w:vAlign w:val="center"/>
          </w:tcPr>
          <w:p w:rsidR="0049013B" w:rsidRDefault="0049013B" w:rsidP="001B3585">
            <w:pPr>
              <w:jc w:val="center"/>
            </w:pPr>
            <w:r>
              <w:rPr>
                <w:rFonts w:ascii="宋体" w:hAnsi="宋体" w:hint="eastAsia"/>
                <w:szCs w:val="21"/>
              </w:rPr>
              <w:t>高</w:t>
            </w:r>
          </w:p>
        </w:tc>
        <w:tc>
          <w:tcPr>
            <w:tcW w:w="254" w:type="pct"/>
            <w:vAlign w:val="center"/>
          </w:tcPr>
          <w:p w:rsidR="0049013B" w:rsidRPr="000D02B6" w:rsidRDefault="0049013B" w:rsidP="00996D63">
            <w:pPr>
              <w:spacing w:line="300" w:lineRule="exact"/>
              <w:jc w:val="center"/>
              <w:rPr>
                <w:rFonts w:ascii="宋体" w:hAnsi="宋体"/>
                <w:szCs w:val="21"/>
              </w:rPr>
            </w:pPr>
            <w:r w:rsidRPr="000D02B6">
              <w:rPr>
                <w:rFonts w:ascii="宋体" w:hAnsi="宋体"/>
                <w:szCs w:val="21"/>
              </w:rPr>
              <w:t>1</w:t>
            </w:r>
            <w:r>
              <w:rPr>
                <w:rFonts w:ascii="宋体" w:hAnsi="宋体" w:hint="eastAsia"/>
                <w:szCs w:val="21"/>
              </w:rPr>
              <w:t>6</w:t>
            </w:r>
          </w:p>
        </w:tc>
        <w:tc>
          <w:tcPr>
            <w:tcW w:w="1851" w:type="pct"/>
            <w:vAlign w:val="center"/>
          </w:tcPr>
          <w:p w:rsidR="0049013B" w:rsidRPr="000D02B6" w:rsidRDefault="0049013B" w:rsidP="0024549E">
            <w:pPr>
              <w:spacing w:line="300" w:lineRule="exact"/>
              <w:rPr>
                <w:rFonts w:ascii="宋体" w:cs="宋体"/>
                <w:szCs w:val="21"/>
              </w:rPr>
            </w:pPr>
            <w:r w:rsidRPr="000D02B6">
              <w:rPr>
                <w:rFonts w:ascii="宋体" w:hAnsi="宋体" w:cs="仿宋_GB2312" w:hint="eastAsia"/>
                <w:szCs w:val="21"/>
              </w:rPr>
              <w:t>企业</w:t>
            </w:r>
            <w:r>
              <w:rPr>
                <w:rFonts w:ascii="宋体" w:hAnsi="宋体" w:cs="仿宋_GB2312" w:hint="eastAsia"/>
                <w:szCs w:val="21"/>
              </w:rPr>
              <w:t>未为从业人员提供符合国家标准或者行业标准的劳动防护用品，并督促、教育从业人员按照使用规则佩戴、使用</w:t>
            </w:r>
          </w:p>
        </w:tc>
        <w:tc>
          <w:tcPr>
            <w:tcW w:w="1022" w:type="pct"/>
            <w:vMerge/>
            <w:vAlign w:val="center"/>
          </w:tcPr>
          <w:p w:rsidR="0049013B" w:rsidRPr="000D02B6" w:rsidRDefault="0049013B" w:rsidP="000D02B6">
            <w:pPr>
              <w:spacing w:line="300" w:lineRule="exact"/>
              <w:jc w:val="center"/>
              <w:rPr>
                <w:rFonts w:ascii="宋体" w:cs="仿宋_GB2312"/>
                <w:szCs w:val="21"/>
              </w:rPr>
            </w:pPr>
          </w:p>
        </w:tc>
        <w:tc>
          <w:tcPr>
            <w:tcW w:w="1412" w:type="pct"/>
            <w:vMerge/>
            <w:vAlign w:val="center"/>
          </w:tcPr>
          <w:p w:rsidR="0049013B" w:rsidRPr="000D02B6" w:rsidRDefault="0049013B" w:rsidP="000D02B6">
            <w:pPr>
              <w:spacing w:line="360" w:lineRule="exact"/>
              <w:jc w:val="center"/>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557"/>
        </w:trPr>
        <w:tc>
          <w:tcPr>
            <w:tcW w:w="221" w:type="pct"/>
            <w:vAlign w:val="center"/>
          </w:tcPr>
          <w:p w:rsidR="0049013B" w:rsidRPr="000D02B6" w:rsidRDefault="0049013B" w:rsidP="001B3585">
            <w:pPr>
              <w:spacing w:line="300" w:lineRule="exact"/>
              <w:jc w:val="center"/>
              <w:rPr>
                <w:rFonts w:ascii="宋体"/>
                <w:szCs w:val="21"/>
              </w:rPr>
            </w:pPr>
            <w:r>
              <w:rPr>
                <w:rFonts w:ascii="宋体" w:hAnsi="宋体" w:hint="eastAsia"/>
                <w:szCs w:val="21"/>
              </w:rPr>
              <w:t>中</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w:t>
            </w:r>
            <w:r>
              <w:rPr>
                <w:rFonts w:ascii="宋体" w:hAnsi="宋体" w:hint="eastAsia"/>
                <w:szCs w:val="21"/>
              </w:rPr>
              <w:t>7</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仿宋_GB2312" w:hint="eastAsia"/>
                <w:szCs w:val="21"/>
              </w:rPr>
              <w:t>未按规定及时变更危险化学品生产（或经营）许可证</w:t>
            </w:r>
          </w:p>
        </w:tc>
        <w:tc>
          <w:tcPr>
            <w:tcW w:w="1022" w:type="pct"/>
            <w:vMerge/>
            <w:vAlign w:val="center"/>
          </w:tcPr>
          <w:p w:rsidR="0049013B" w:rsidRPr="000D02B6" w:rsidRDefault="0049013B" w:rsidP="000D02B6">
            <w:pPr>
              <w:spacing w:line="300" w:lineRule="exact"/>
              <w:jc w:val="center"/>
              <w:rPr>
                <w:rFonts w:ascii="宋体" w:cs="仿宋_GB2312"/>
                <w:szCs w:val="21"/>
              </w:rPr>
            </w:pPr>
          </w:p>
        </w:tc>
        <w:tc>
          <w:tcPr>
            <w:tcW w:w="1412" w:type="pct"/>
            <w:vMerge/>
            <w:vAlign w:val="center"/>
          </w:tcPr>
          <w:p w:rsidR="0049013B" w:rsidRPr="000D02B6" w:rsidRDefault="0049013B" w:rsidP="000D02B6">
            <w:pPr>
              <w:spacing w:line="360" w:lineRule="exact"/>
              <w:jc w:val="center"/>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406"/>
        </w:trPr>
        <w:tc>
          <w:tcPr>
            <w:tcW w:w="221" w:type="pct"/>
            <w:vAlign w:val="center"/>
          </w:tcPr>
          <w:p w:rsidR="0049013B" w:rsidRDefault="0049013B" w:rsidP="001B3585">
            <w:pPr>
              <w:jc w:val="center"/>
            </w:pPr>
            <w:r w:rsidRPr="00514D0C">
              <w:rPr>
                <w:rFonts w:ascii="宋体" w:hAnsi="宋体" w:hint="eastAsia"/>
                <w:szCs w:val="21"/>
              </w:rPr>
              <w:t>中</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18</w:t>
            </w:r>
          </w:p>
        </w:tc>
        <w:tc>
          <w:tcPr>
            <w:tcW w:w="1851" w:type="pct"/>
            <w:vAlign w:val="center"/>
          </w:tcPr>
          <w:p w:rsidR="0049013B" w:rsidRPr="000D02B6" w:rsidRDefault="0049013B" w:rsidP="000D02B6">
            <w:pPr>
              <w:spacing w:line="300" w:lineRule="exact"/>
              <w:rPr>
                <w:rFonts w:ascii="宋体" w:cs="宋体"/>
                <w:szCs w:val="21"/>
              </w:rPr>
            </w:pPr>
            <w:r w:rsidRPr="000D02B6">
              <w:rPr>
                <w:rFonts w:ascii="宋体" w:hAnsi="宋体" w:cs="宋体" w:hint="eastAsia"/>
                <w:szCs w:val="21"/>
              </w:rPr>
              <w:t>未按规定建立健全事故隐患排查记录台账</w:t>
            </w:r>
          </w:p>
        </w:tc>
        <w:tc>
          <w:tcPr>
            <w:tcW w:w="1022" w:type="pct"/>
            <w:vMerge/>
            <w:vAlign w:val="center"/>
          </w:tcPr>
          <w:p w:rsidR="0049013B" w:rsidRPr="000D02B6" w:rsidRDefault="0049013B" w:rsidP="000D02B6">
            <w:pPr>
              <w:spacing w:line="300" w:lineRule="exact"/>
              <w:jc w:val="center"/>
              <w:rPr>
                <w:rFonts w:ascii="宋体" w:cs="宋体"/>
                <w:szCs w:val="21"/>
              </w:rPr>
            </w:pPr>
          </w:p>
        </w:tc>
        <w:tc>
          <w:tcPr>
            <w:tcW w:w="1412" w:type="pct"/>
            <w:vMerge/>
            <w:vAlign w:val="center"/>
          </w:tcPr>
          <w:p w:rsidR="0049013B" w:rsidRPr="000D02B6" w:rsidRDefault="0049013B" w:rsidP="000D02B6">
            <w:pPr>
              <w:spacing w:line="360" w:lineRule="exact"/>
              <w:jc w:val="center"/>
              <w:rPr>
                <w:rFonts w:ascii="宋体" w:cs="宋体"/>
                <w:szCs w:val="21"/>
              </w:rPr>
            </w:pPr>
          </w:p>
        </w:tc>
        <w:tc>
          <w:tcPr>
            <w:tcW w:w="240" w:type="pct"/>
            <w:vAlign w:val="center"/>
          </w:tcPr>
          <w:p w:rsidR="0049013B" w:rsidRPr="000D02B6" w:rsidRDefault="0049013B" w:rsidP="000D02B6">
            <w:pPr>
              <w:spacing w:line="300" w:lineRule="exact"/>
              <w:jc w:val="center"/>
              <w:rPr>
                <w:rFonts w:ascii="宋体"/>
                <w:szCs w:val="21"/>
              </w:rPr>
            </w:pPr>
          </w:p>
        </w:tc>
      </w:tr>
      <w:tr w:rsidR="0049013B" w:rsidRPr="00043139" w:rsidTr="001B3585">
        <w:trPr>
          <w:trHeight w:val="426"/>
        </w:trPr>
        <w:tc>
          <w:tcPr>
            <w:tcW w:w="221" w:type="pct"/>
            <w:vAlign w:val="center"/>
          </w:tcPr>
          <w:p w:rsidR="0049013B" w:rsidRDefault="0049013B" w:rsidP="001B3585">
            <w:pPr>
              <w:jc w:val="center"/>
            </w:pPr>
            <w:r w:rsidRPr="00514D0C">
              <w:rPr>
                <w:rFonts w:ascii="宋体" w:hAnsi="宋体" w:hint="eastAsia"/>
                <w:szCs w:val="21"/>
              </w:rPr>
              <w:t>中</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19</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仿宋_GB2312" w:hint="eastAsia"/>
                <w:szCs w:val="21"/>
              </w:rPr>
              <w:t>企业未开展员工三级安全教育培训</w:t>
            </w:r>
          </w:p>
        </w:tc>
        <w:tc>
          <w:tcPr>
            <w:tcW w:w="1022" w:type="pct"/>
            <w:vMerge/>
            <w:vAlign w:val="center"/>
          </w:tcPr>
          <w:p w:rsidR="0049013B" w:rsidRPr="000D02B6" w:rsidRDefault="0049013B" w:rsidP="000D02B6">
            <w:pPr>
              <w:spacing w:line="300" w:lineRule="exact"/>
              <w:jc w:val="center"/>
              <w:rPr>
                <w:rFonts w:ascii="宋体" w:cs="仿宋_GB2312"/>
                <w:szCs w:val="21"/>
              </w:rPr>
            </w:pPr>
          </w:p>
        </w:tc>
        <w:tc>
          <w:tcPr>
            <w:tcW w:w="1412" w:type="pct"/>
            <w:vMerge/>
            <w:vAlign w:val="center"/>
          </w:tcPr>
          <w:p w:rsidR="0049013B" w:rsidRPr="000D02B6" w:rsidRDefault="0049013B" w:rsidP="000D02B6">
            <w:pPr>
              <w:spacing w:line="360" w:lineRule="exact"/>
              <w:jc w:val="center"/>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740"/>
        </w:trPr>
        <w:tc>
          <w:tcPr>
            <w:tcW w:w="221" w:type="pct"/>
            <w:vAlign w:val="center"/>
          </w:tcPr>
          <w:p w:rsidR="0049013B" w:rsidRDefault="0049013B" w:rsidP="001B3585">
            <w:pPr>
              <w:jc w:val="center"/>
            </w:pPr>
            <w:r w:rsidRPr="00514D0C">
              <w:rPr>
                <w:rFonts w:ascii="宋体" w:hAnsi="宋体" w:hint="eastAsia"/>
                <w:szCs w:val="21"/>
              </w:rPr>
              <w:t>中</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20</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仿宋_GB2312" w:hint="eastAsia"/>
                <w:szCs w:val="21"/>
              </w:rPr>
              <w:t>企业提供相关材料不真实弄虚作假，骗取安全生产许可证书及其他批准文件</w:t>
            </w:r>
          </w:p>
        </w:tc>
        <w:tc>
          <w:tcPr>
            <w:tcW w:w="1022" w:type="pct"/>
            <w:vMerge/>
            <w:vAlign w:val="center"/>
          </w:tcPr>
          <w:p w:rsidR="0049013B" w:rsidRPr="000D02B6" w:rsidRDefault="0049013B" w:rsidP="000D02B6">
            <w:pPr>
              <w:spacing w:line="300" w:lineRule="exact"/>
              <w:jc w:val="center"/>
              <w:rPr>
                <w:rFonts w:ascii="宋体" w:cs="仿宋_GB2312"/>
                <w:szCs w:val="21"/>
              </w:rPr>
            </w:pPr>
          </w:p>
        </w:tc>
        <w:tc>
          <w:tcPr>
            <w:tcW w:w="1412" w:type="pct"/>
            <w:vMerge/>
            <w:vAlign w:val="center"/>
          </w:tcPr>
          <w:p w:rsidR="0049013B" w:rsidRPr="000D02B6" w:rsidRDefault="0049013B" w:rsidP="000D02B6">
            <w:pPr>
              <w:spacing w:line="360" w:lineRule="exact"/>
              <w:jc w:val="center"/>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r w:rsidR="0049013B" w:rsidRPr="00043139" w:rsidTr="001B3585">
        <w:trPr>
          <w:trHeight w:val="386"/>
        </w:trPr>
        <w:tc>
          <w:tcPr>
            <w:tcW w:w="221" w:type="pct"/>
            <w:vAlign w:val="center"/>
          </w:tcPr>
          <w:p w:rsidR="0049013B" w:rsidRDefault="0049013B" w:rsidP="001B3585">
            <w:pPr>
              <w:jc w:val="center"/>
            </w:pPr>
            <w:r w:rsidRPr="00514D0C">
              <w:rPr>
                <w:rFonts w:ascii="宋体" w:hAnsi="宋体" w:hint="eastAsia"/>
                <w:szCs w:val="21"/>
              </w:rPr>
              <w:t>中</w:t>
            </w:r>
          </w:p>
        </w:tc>
        <w:tc>
          <w:tcPr>
            <w:tcW w:w="254" w:type="pct"/>
            <w:vAlign w:val="center"/>
          </w:tcPr>
          <w:p w:rsidR="0049013B" w:rsidRPr="000D02B6" w:rsidRDefault="0049013B" w:rsidP="000D02B6">
            <w:pPr>
              <w:spacing w:line="300" w:lineRule="exact"/>
              <w:jc w:val="center"/>
              <w:rPr>
                <w:rFonts w:ascii="宋体" w:hAnsi="宋体"/>
                <w:szCs w:val="21"/>
              </w:rPr>
            </w:pPr>
            <w:r w:rsidRPr="000D02B6">
              <w:rPr>
                <w:rFonts w:ascii="宋体" w:hAnsi="宋体"/>
                <w:szCs w:val="21"/>
              </w:rPr>
              <w:t>21</w:t>
            </w:r>
          </w:p>
        </w:tc>
        <w:tc>
          <w:tcPr>
            <w:tcW w:w="1851" w:type="pct"/>
            <w:vAlign w:val="center"/>
          </w:tcPr>
          <w:p w:rsidR="0049013B" w:rsidRPr="000D02B6" w:rsidRDefault="0049013B" w:rsidP="000D02B6">
            <w:pPr>
              <w:spacing w:line="300" w:lineRule="exact"/>
              <w:rPr>
                <w:rFonts w:ascii="宋体" w:cs="仿宋_GB2312"/>
                <w:szCs w:val="21"/>
              </w:rPr>
            </w:pPr>
            <w:r w:rsidRPr="000D02B6">
              <w:rPr>
                <w:rFonts w:ascii="宋体" w:hAnsi="宋体" w:cs="仿宋_GB2312" w:hint="eastAsia"/>
                <w:szCs w:val="21"/>
              </w:rPr>
              <w:t>未制定应急演练计划，应急演练单一化、形式化</w:t>
            </w:r>
          </w:p>
        </w:tc>
        <w:tc>
          <w:tcPr>
            <w:tcW w:w="1022" w:type="pct"/>
            <w:vMerge/>
            <w:vAlign w:val="center"/>
          </w:tcPr>
          <w:p w:rsidR="0049013B" w:rsidRPr="000D02B6" w:rsidRDefault="0049013B" w:rsidP="000D02B6">
            <w:pPr>
              <w:spacing w:line="300" w:lineRule="exact"/>
              <w:jc w:val="center"/>
              <w:rPr>
                <w:rFonts w:ascii="宋体" w:cs="仿宋_GB2312"/>
                <w:szCs w:val="21"/>
              </w:rPr>
            </w:pPr>
          </w:p>
        </w:tc>
        <w:tc>
          <w:tcPr>
            <w:tcW w:w="1412" w:type="pct"/>
            <w:vMerge/>
            <w:vAlign w:val="center"/>
          </w:tcPr>
          <w:p w:rsidR="0049013B" w:rsidRPr="000D02B6" w:rsidRDefault="0049013B" w:rsidP="000D02B6">
            <w:pPr>
              <w:spacing w:line="360" w:lineRule="exact"/>
              <w:jc w:val="center"/>
              <w:rPr>
                <w:rFonts w:ascii="宋体" w:cs="仿宋_GB2312"/>
                <w:szCs w:val="21"/>
              </w:rPr>
            </w:pPr>
          </w:p>
        </w:tc>
        <w:tc>
          <w:tcPr>
            <w:tcW w:w="240" w:type="pct"/>
          </w:tcPr>
          <w:p w:rsidR="0049013B" w:rsidRPr="000D02B6" w:rsidRDefault="0049013B" w:rsidP="000D02B6">
            <w:pPr>
              <w:spacing w:line="300" w:lineRule="exact"/>
              <w:jc w:val="center"/>
              <w:rPr>
                <w:rFonts w:ascii="宋体"/>
                <w:szCs w:val="21"/>
              </w:rPr>
            </w:pPr>
          </w:p>
        </w:tc>
      </w:tr>
    </w:tbl>
    <w:p w:rsidR="00240DA9" w:rsidRDefault="00240DA9" w:rsidP="004B5383">
      <w:pPr>
        <w:spacing w:line="300" w:lineRule="exact"/>
        <w:rPr>
          <w:rFonts w:ascii="宋体"/>
          <w:szCs w:val="21"/>
        </w:rPr>
      </w:pPr>
    </w:p>
    <w:p w:rsidR="00240DA9" w:rsidRPr="004B5383" w:rsidRDefault="00240DA9" w:rsidP="00A07949">
      <w:pPr>
        <w:spacing w:line="380" w:lineRule="exact"/>
        <w:rPr>
          <w:rFonts w:ascii="宋体"/>
          <w:szCs w:val="21"/>
        </w:rPr>
      </w:pPr>
      <w:r>
        <w:rPr>
          <w:rFonts w:ascii="宋体" w:hAnsi="宋体" w:hint="eastAsia"/>
          <w:szCs w:val="21"/>
        </w:rPr>
        <w:t>注：</w:t>
      </w:r>
      <w:r w:rsidRPr="004B5383">
        <w:rPr>
          <w:rFonts w:ascii="宋体" w:hAnsi="宋体"/>
          <w:szCs w:val="21"/>
        </w:rPr>
        <w:t>1.</w:t>
      </w:r>
      <w:r w:rsidR="00A07949">
        <w:rPr>
          <w:rFonts w:ascii="宋体" w:hAnsi="宋体" w:hint="eastAsia"/>
          <w:szCs w:val="21"/>
        </w:rPr>
        <w:t>高风险等级：属于重大违法风险等级，主要包括</w:t>
      </w:r>
      <w:r w:rsidRPr="004B5383">
        <w:rPr>
          <w:rFonts w:ascii="宋体" w:hAnsi="宋体" w:hint="eastAsia"/>
          <w:szCs w:val="21"/>
        </w:rPr>
        <w:t>实施重大行政处罚或行政强制措施、行政强制执行的违法行为或者某一时段、某一地域、某一行业易发、高发、多发的违法行为。</w:t>
      </w:r>
    </w:p>
    <w:p w:rsidR="00240DA9" w:rsidRPr="004B5383" w:rsidRDefault="00240DA9" w:rsidP="00A07949">
      <w:pPr>
        <w:spacing w:line="380" w:lineRule="exact"/>
        <w:rPr>
          <w:rFonts w:ascii="宋体"/>
          <w:szCs w:val="21"/>
        </w:rPr>
      </w:pPr>
      <w:r w:rsidRPr="004B5383">
        <w:rPr>
          <w:rFonts w:ascii="宋体" w:hAnsi="宋体"/>
          <w:szCs w:val="21"/>
        </w:rPr>
        <w:t>2.</w:t>
      </w:r>
      <w:r w:rsidR="00A07949">
        <w:rPr>
          <w:rFonts w:ascii="宋体" w:hAnsi="宋体" w:hint="eastAsia"/>
          <w:szCs w:val="21"/>
        </w:rPr>
        <w:t>低违法风险等级</w:t>
      </w:r>
      <w:r w:rsidRPr="004B5383">
        <w:rPr>
          <w:rFonts w:ascii="宋体" w:hAnsi="宋体"/>
          <w:szCs w:val="21"/>
        </w:rPr>
        <w:t>:</w:t>
      </w:r>
      <w:r w:rsidR="00A07949">
        <w:rPr>
          <w:rFonts w:ascii="宋体" w:hAnsi="宋体" w:hint="eastAsia"/>
          <w:szCs w:val="21"/>
        </w:rPr>
        <w:t>属于一般风险级别，主要包括</w:t>
      </w:r>
      <w:r w:rsidRPr="004B5383">
        <w:rPr>
          <w:rFonts w:ascii="宋体" w:hAnsi="宋体" w:hint="eastAsia"/>
          <w:szCs w:val="21"/>
        </w:rPr>
        <w:t>适用简易程序实施行政处罚的违法行为；违法行为轻微，经行政指导能及时纠正，未造成危害后果的违法行为；偶发、少见的违法行为或者法律没有明确规定，需要包容审慎监管的行为。</w:t>
      </w:r>
    </w:p>
    <w:p w:rsidR="00240DA9" w:rsidRPr="00043139" w:rsidRDefault="00240DA9" w:rsidP="00A07949">
      <w:pPr>
        <w:spacing w:line="380" w:lineRule="exact"/>
        <w:rPr>
          <w:rFonts w:ascii="宋体"/>
          <w:szCs w:val="21"/>
        </w:rPr>
      </w:pPr>
      <w:r w:rsidRPr="004B5383">
        <w:rPr>
          <w:rFonts w:ascii="宋体" w:hAnsi="宋体"/>
          <w:szCs w:val="21"/>
        </w:rPr>
        <w:t>3.</w:t>
      </w:r>
      <w:r w:rsidR="00A07949">
        <w:rPr>
          <w:rFonts w:ascii="宋体" w:hAnsi="宋体" w:hint="eastAsia"/>
          <w:szCs w:val="21"/>
        </w:rPr>
        <w:t>中违法风险等级</w:t>
      </w:r>
      <w:r w:rsidRPr="004B5383">
        <w:rPr>
          <w:rFonts w:ascii="宋体" w:hAnsi="宋体"/>
          <w:szCs w:val="21"/>
        </w:rPr>
        <w:t>:</w:t>
      </w:r>
      <w:r w:rsidR="00A07949">
        <w:rPr>
          <w:rFonts w:ascii="宋体" w:hAnsi="宋体" w:hint="eastAsia"/>
          <w:szCs w:val="21"/>
        </w:rPr>
        <w:t>属于较大风险，指</w:t>
      </w:r>
      <w:r w:rsidRPr="004B5383">
        <w:rPr>
          <w:rFonts w:ascii="宋体" w:hAnsi="宋体" w:hint="eastAsia"/>
          <w:szCs w:val="21"/>
        </w:rPr>
        <w:t>除了高风险和低风险之外的其他违法行为。</w:t>
      </w:r>
    </w:p>
    <w:sectPr w:rsidR="00240DA9" w:rsidRPr="00043139" w:rsidSect="004B5383">
      <w:footerReference w:type="default" r:id="rId7"/>
      <w:pgSz w:w="16838" w:h="11906" w:orient="landscape"/>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411" w:rsidRDefault="00027411" w:rsidP="006A1508">
      <w:r>
        <w:separator/>
      </w:r>
    </w:p>
  </w:endnote>
  <w:endnote w:type="continuationSeparator" w:id="0">
    <w:p w:rsidR="00027411" w:rsidRDefault="00027411" w:rsidP="006A1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A9" w:rsidRDefault="00721DE7">
    <w:pPr>
      <w:pStyle w:val="a6"/>
      <w:jc w:val="center"/>
    </w:pPr>
    <w:fldSimple w:instr=" PAGE   \* MERGEFORMAT ">
      <w:r w:rsidR="0049013B" w:rsidRPr="0049013B">
        <w:rPr>
          <w:noProof/>
          <w:lang w:val="zh-CN"/>
        </w:rPr>
        <w:t>1</w:t>
      </w:r>
    </w:fldSimple>
  </w:p>
  <w:p w:rsidR="00240DA9" w:rsidRDefault="00240D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411" w:rsidRDefault="00027411" w:rsidP="006A1508">
      <w:r>
        <w:separator/>
      </w:r>
    </w:p>
  </w:footnote>
  <w:footnote w:type="continuationSeparator" w:id="0">
    <w:p w:rsidR="00027411" w:rsidRDefault="00027411" w:rsidP="006A1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66DED"/>
    <w:multiLevelType w:val="hybridMultilevel"/>
    <w:tmpl w:val="65FC0C06"/>
    <w:lvl w:ilvl="0" w:tplc="0CDCC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3A100C"/>
    <w:rsid w:val="00025731"/>
    <w:rsid w:val="00027411"/>
    <w:rsid w:val="0003197D"/>
    <w:rsid w:val="00043139"/>
    <w:rsid w:val="000957E6"/>
    <w:rsid w:val="000D02B6"/>
    <w:rsid w:val="000D73FE"/>
    <w:rsid w:val="000E0F31"/>
    <w:rsid w:val="00125DF2"/>
    <w:rsid w:val="0013655B"/>
    <w:rsid w:val="001B3585"/>
    <w:rsid w:val="001C1DC3"/>
    <w:rsid w:val="00236502"/>
    <w:rsid w:val="00240DA9"/>
    <w:rsid w:val="002575D3"/>
    <w:rsid w:val="002C49B7"/>
    <w:rsid w:val="002E00E4"/>
    <w:rsid w:val="002E63A2"/>
    <w:rsid w:val="002E705E"/>
    <w:rsid w:val="00314C37"/>
    <w:rsid w:val="0032348A"/>
    <w:rsid w:val="0038769D"/>
    <w:rsid w:val="003A33B0"/>
    <w:rsid w:val="003C07A9"/>
    <w:rsid w:val="00400029"/>
    <w:rsid w:val="004428BE"/>
    <w:rsid w:val="00454743"/>
    <w:rsid w:val="0049013B"/>
    <w:rsid w:val="004B5383"/>
    <w:rsid w:val="004F35A4"/>
    <w:rsid w:val="00556D76"/>
    <w:rsid w:val="0059601F"/>
    <w:rsid w:val="00604877"/>
    <w:rsid w:val="0065196F"/>
    <w:rsid w:val="006A1508"/>
    <w:rsid w:val="00721DE7"/>
    <w:rsid w:val="00735068"/>
    <w:rsid w:val="00787E56"/>
    <w:rsid w:val="007A2C0E"/>
    <w:rsid w:val="008C1AF1"/>
    <w:rsid w:val="00923D59"/>
    <w:rsid w:val="009450D0"/>
    <w:rsid w:val="00960597"/>
    <w:rsid w:val="00960A6C"/>
    <w:rsid w:val="00971605"/>
    <w:rsid w:val="00996D63"/>
    <w:rsid w:val="009A270D"/>
    <w:rsid w:val="009B3832"/>
    <w:rsid w:val="009E6D11"/>
    <w:rsid w:val="009F2A5E"/>
    <w:rsid w:val="00A05212"/>
    <w:rsid w:val="00A07949"/>
    <w:rsid w:val="00A4793F"/>
    <w:rsid w:val="00AB5C32"/>
    <w:rsid w:val="00AF38B5"/>
    <w:rsid w:val="00B551CF"/>
    <w:rsid w:val="00B66FFB"/>
    <w:rsid w:val="00B87E83"/>
    <w:rsid w:val="00B95DC2"/>
    <w:rsid w:val="00BA6408"/>
    <w:rsid w:val="00BC38E0"/>
    <w:rsid w:val="00BD73BA"/>
    <w:rsid w:val="00C91F8C"/>
    <w:rsid w:val="00CE29EC"/>
    <w:rsid w:val="00CF7C25"/>
    <w:rsid w:val="00D249BD"/>
    <w:rsid w:val="00DC3BBF"/>
    <w:rsid w:val="00DD02D1"/>
    <w:rsid w:val="00E37EFC"/>
    <w:rsid w:val="00E62770"/>
    <w:rsid w:val="00EC5DE7"/>
    <w:rsid w:val="00F26DC7"/>
    <w:rsid w:val="00F43A94"/>
    <w:rsid w:val="00F64E03"/>
    <w:rsid w:val="00F76634"/>
    <w:rsid w:val="00F84F31"/>
    <w:rsid w:val="00FE63DA"/>
    <w:rsid w:val="37367851"/>
    <w:rsid w:val="463A100C"/>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7E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57E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A270D"/>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rsid w:val="006A1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A1508"/>
    <w:rPr>
      <w:rFonts w:cs="Times New Roman"/>
      <w:kern w:val="2"/>
      <w:sz w:val="18"/>
      <w:szCs w:val="18"/>
    </w:rPr>
  </w:style>
  <w:style w:type="paragraph" w:styleId="a6">
    <w:name w:val="footer"/>
    <w:basedOn w:val="a"/>
    <w:link w:val="Char0"/>
    <w:uiPriority w:val="99"/>
    <w:rsid w:val="006A150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A1508"/>
    <w:rPr>
      <w:rFonts w:cs="Times New Roman"/>
      <w:kern w:val="2"/>
      <w:sz w:val="18"/>
      <w:szCs w:val="18"/>
    </w:rPr>
  </w:style>
  <w:style w:type="paragraph" w:styleId="a7">
    <w:name w:val="List Paragraph"/>
    <w:basedOn w:val="a"/>
    <w:uiPriority w:val="34"/>
    <w:qFormat/>
    <w:rsid w:val="004901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71</TotalTime>
  <Pages>3</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安全生产领域行政相对人法律风险点和防控措施之一</dc:title>
  <dc:creator>Administrator</dc:creator>
  <cp:lastModifiedBy>Administrator</cp:lastModifiedBy>
  <cp:revision>7</cp:revision>
  <cp:lastPrinted>2019-08-29T07:36:00Z</cp:lastPrinted>
  <dcterms:created xsi:type="dcterms:W3CDTF">2019-08-29T01:20:00Z</dcterms:created>
  <dcterms:modified xsi:type="dcterms:W3CDTF">2019-12-02T00:52:00Z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