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ind w:left="0" w:leftChars="0" w:firstLine="0" w:firstLineChars="0"/>
        <w:rPr>
          <w:rFonts w:hint="eastAsia"/>
        </w:rPr>
      </w:pPr>
    </w:p>
    <w:p>
      <w:pPr>
        <w:rPr>
          <w:rFonts w:hint="eastAsia"/>
        </w:rPr>
      </w:pPr>
    </w:p>
    <w:p>
      <w:pPr>
        <w:spacing w:line="240" w:lineRule="auto"/>
        <w:ind w:right="-160" w:rightChars="-50" w:firstLine="0" w:firstLineChars="0"/>
        <w:rPr>
          <w:rFonts w:ascii="方正小标宋_GBK" w:hAnsi="方正小标宋_GBK" w:eastAsia="方正小标宋_GBK" w:cs="方正小标宋_GBK"/>
          <w:szCs w:val="32"/>
        </w:rPr>
      </w:pPr>
      <w:r>
        <w:rPr>
          <w:rFonts w:hint="eastAsia" w:ascii="方正小标宋_GBK" w:hAnsi="方正小标宋_GBK" w:eastAsia="方正小标宋_GBK" w:cs="方正小标宋_GBK"/>
          <w:bCs/>
          <w:color w:val="FF0000"/>
          <w:spacing w:val="1"/>
          <w:w w:val="29"/>
          <w:kern w:val="0"/>
          <w:sz w:val="132"/>
          <w:fitText w:val="9024" w:id="603483245"/>
        </w:rPr>
        <w:t>中共开封市龙亭区委重大项目推进工作委员会办公</w:t>
      </w:r>
      <w:r>
        <w:rPr>
          <w:rFonts w:hint="eastAsia" w:ascii="方正小标宋_GBK" w:hAnsi="方正小标宋_GBK" w:eastAsia="方正小标宋_GBK" w:cs="方正小标宋_GBK"/>
          <w:bCs/>
          <w:color w:val="FF0000"/>
          <w:spacing w:val="102"/>
          <w:w w:val="29"/>
          <w:kern w:val="0"/>
          <w:sz w:val="132"/>
          <w:fitText w:val="9024" w:id="603483245"/>
        </w:rPr>
        <w:t>室</w:t>
      </w:r>
    </w:p>
    <w:p>
      <w:pPr>
        <w:tabs>
          <w:tab w:val="center" w:pos="4423"/>
          <w:tab w:val="left" w:pos="7125"/>
        </w:tabs>
        <w:ind w:firstLine="2688" w:firstLineChars="800"/>
        <w:jc w:val="left"/>
        <w:rPr>
          <w:rFonts w:cs="仿宋_GB2312"/>
          <w:szCs w:val="32"/>
        </w:rPr>
      </w:pPr>
      <w:bookmarkStart w:id="0" w:name="_GoBack"/>
      <w:r>
        <w:rPr>
          <w:rFonts w:hint="eastAsia" w:ascii="仿宋" w:hAnsi="仿宋" w:eastAsia="仿宋" w:cs="仿宋"/>
          <w:spacing w:val="8"/>
          <w:szCs w:val="32"/>
        </w:rPr>
        <w:t>龙项目办〔2022〕2 号</w:t>
      </w:r>
      <w:r>
        <w:rPr>
          <w:rFonts w:hint="eastAsia" w:ascii="仿宋" w:hAnsi="仿宋" w:eastAsia="仿宋" w:cs="仿宋"/>
          <w:szCs w:val="32"/>
        </w:rPr>
        <w:t xml:space="preserve">   </w:t>
      </w:r>
      <w:bookmarkEnd w:id="0"/>
      <w:r>
        <w:rPr>
          <w:rFonts w:hint="eastAsia" w:cs="仿宋_GB2312"/>
          <w:szCs w:val="32"/>
        </w:rPr>
        <w:t xml:space="preserve">           </w:t>
      </w:r>
    </w:p>
    <w:p>
      <w:pPr>
        <w:spacing w:line="556" w:lineRule="exact"/>
        <w:ind w:firstLine="4032" w:firstLineChars="1200"/>
        <w:rPr>
          <w:rFonts w:ascii="方正小标宋简体" w:eastAsia="方正小标宋简体"/>
          <w:bCs/>
          <w:color w:val="000000" w:themeColor="text1"/>
          <w:kern w:val="0"/>
          <w:sz w:val="56"/>
          <w:szCs w:val="20"/>
          <w14:textFill>
            <w14:solidFill>
              <w14:schemeClr w14:val="tx1"/>
            </w14:solidFill>
          </w14:textFill>
        </w:rPr>
      </w:pPr>
      <w:r>
        <w:rPr>
          <w:rFonts w:hint="eastAsia"/>
          <w:spacing w:val="8"/>
        </w:rPr>
        <mc:AlternateContent>
          <mc:Choice Requires="wps">
            <w:drawing>
              <wp:anchor distT="0" distB="0" distL="114300" distR="114300" simplePos="0" relativeHeight="251660288" behindDoc="0" locked="0" layoutInCell="1" allowOverlap="1">
                <wp:simplePos x="0" y="0"/>
                <wp:positionH relativeFrom="column">
                  <wp:posOffset>2867025</wp:posOffset>
                </wp:positionH>
                <wp:positionV relativeFrom="paragraph">
                  <wp:posOffset>139700</wp:posOffset>
                </wp:positionV>
                <wp:extent cx="2362200" cy="8255"/>
                <wp:effectExtent l="0" t="12700" r="0" b="24765"/>
                <wp:wrapNone/>
                <wp:docPr id="2" name="直接箭头连接符 2"/>
                <wp:cNvGraphicFramePr/>
                <a:graphic xmlns:a="http://schemas.openxmlformats.org/drawingml/2006/main">
                  <a:graphicData uri="http://schemas.microsoft.com/office/word/2010/wordprocessingShape">
                    <wps:wsp>
                      <wps:cNvCnPr/>
                      <wps:spPr>
                        <a:xfrm>
                          <a:off x="0" y="0"/>
                          <a:ext cx="2362200" cy="8255"/>
                        </a:xfrm>
                        <a:prstGeom prst="straightConnector1">
                          <a:avLst/>
                        </a:prstGeom>
                        <a:ln w="2540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25.75pt;margin-top:11pt;height:0.65pt;width:186pt;z-index:251660288;mso-width-relative:page;mso-height-relative:page;" filled="f" stroked="t" coordsize="21600,21600" o:gfxdata="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LkT6tgAAAAJAQAADwAAAAAAAAABACAAAAAiAAAAZHJz&#10;L2Rvd25yZXYueG1sUEsBAhQAFAAAAAgAh07iQCIJZUoEAgAA+gMAAA4AAAAAAAAAAQAgAAAAJwEA&#10;AGRycy9lMm9Eb2MueG1sUEsFBgAAAAAGAAYAWQEAAJ0FAAAAAA==&#10;">
                <v:fill on="f" focussize="0,0"/>
                <v:stroke weight="2pt" color="#FF0000" joinstyle="round"/>
                <v:imagedata o:title=""/>
                <o:lock v:ext="edit" aspectratio="f"/>
              </v:shape>
            </w:pict>
          </mc:Fallback>
        </mc:AlternateContent>
      </w:r>
      <w:r>
        <w:rPr>
          <w:rFonts w:hint="eastAsia"/>
          <w:spacing w:val="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132080</wp:posOffset>
                </wp:positionV>
                <wp:extent cx="2362200" cy="8255"/>
                <wp:effectExtent l="0" t="12700" r="0" b="24765"/>
                <wp:wrapNone/>
                <wp:docPr id="1" name="直接箭头连接符 1"/>
                <wp:cNvGraphicFramePr/>
                <a:graphic xmlns:a="http://schemas.openxmlformats.org/drawingml/2006/main">
                  <a:graphicData uri="http://schemas.microsoft.com/office/word/2010/wordprocessingShape">
                    <wps:wsp>
                      <wps:cNvCnPr/>
                      <wps:spPr>
                        <a:xfrm>
                          <a:off x="0" y="0"/>
                          <a:ext cx="2362200" cy="8255"/>
                        </a:xfrm>
                        <a:prstGeom prst="straightConnector1">
                          <a:avLst/>
                        </a:prstGeom>
                        <a:ln w="2540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55pt;margin-top:10.4pt;height:0.65pt;width:186pt;z-index:251659264;mso-width-relative:page;mso-height-relative:page;" filled="f" stroked="t" coordsize="21600,21600" o:gfxdata="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ZVtfTWAAAABwEAAA8AAAAAAAAAAQAgAAAAIgAAAGRycy9k&#10;b3ducmV2LnhtbFBLAQIUABQAAAAIAIdO4kC73/hqBAIAAPoDAAAOAAAAAAAAAAEAIAAAACUBAABk&#10;cnMvZTJvRG9jLnhtbFBLBQYAAAAABgAGAFkBAACbBQAAAAA=&#10;">
                <v:fill on="f" focussize="0,0"/>
                <v:stroke weight="2pt" color="#FF0000" joinstyle="round"/>
                <v:imagedata o:title=""/>
                <o:lock v:ext="edit" aspectratio="f"/>
              </v:shape>
            </w:pict>
          </mc:Fallback>
        </mc:AlternateContent>
      </w:r>
      <w:r>
        <w:rPr>
          <w:rFonts w:hint="eastAsia" w:ascii="仿宋_GB2312"/>
          <w:color w:val="FF0000"/>
          <w:spacing w:val="8"/>
          <w:sz w:val="60"/>
          <w:szCs w:val="60"/>
        </w:rPr>
        <w:t>★</w:t>
      </w:r>
      <w:r>
        <w:rPr>
          <w:rFonts w:hint="eastAsia" w:ascii="仿宋_GB2312" w:eastAsia="宋体"/>
          <w:color w:val="FF0000"/>
          <w:spacing w:val="8"/>
          <w:sz w:val="60"/>
          <w:szCs w:val="60"/>
        </w:rPr>
        <w:t xml:space="preserve"> </w:t>
      </w:r>
    </w:p>
    <w:p>
      <w:pPr>
        <w:tabs>
          <w:tab w:val="left" w:pos="2844"/>
        </w:tabs>
        <w:spacing w:line="540" w:lineRule="exact"/>
        <w:ind w:firstLine="0" w:firstLineChars="0"/>
        <w:jc w:val="center"/>
        <w:rPr>
          <w:rFonts w:ascii="方正小标宋_GBK" w:hAnsi="宋体" w:eastAsia="方正小标宋_GBK"/>
          <w:spacing w:val="8"/>
          <w:szCs w:val="32"/>
        </w:rPr>
      </w:pPr>
    </w:p>
    <w:p>
      <w:pPr>
        <w:widowControl w:val="0"/>
        <w:spacing w:line="580" w:lineRule="exact"/>
        <w:ind w:firstLine="0" w:firstLineChars="0"/>
        <w:jc w:val="center"/>
        <w:rPr>
          <w:rFonts w:hint="eastAsia" w:ascii="方正小标宋_GBK" w:hAnsi="方正小标宋_GBK" w:eastAsia="方正小标宋_GBK" w:cs="方正小标宋_GBK"/>
          <w:spacing w:val="8"/>
          <w:sz w:val="36"/>
          <w:szCs w:val="36"/>
        </w:rPr>
      </w:pPr>
      <w:r>
        <w:rPr>
          <w:rFonts w:hint="eastAsia" w:ascii="方正小标宋_GBK" w:hAnsi="方正小标宋_GBK" w:eastAsia="方正小标宋_GBK" w:cs="方正小标宋_GBK"/>
          <w:spacing w:val="8"/>
          <w:sz w:val="36"/>
          <w:szCs w:val="36"/>
        </w:rPr>
        <w:t>龙亭区重点项目推进管理办法</w:t>
      </w:r>
    </w:p>
    <w:p>
      <w:pPr>
        <w:ind w:firstLine="0" w:firstLineChars="0"/>
        <w:jc w:val="center"/>
        <w:rPr>
          <w:rFonts w:ascii="黑体" w:eastAsia="黑体"/>
          <w:b w:val="0"/>
          <w:bCs/>
          <w:szCs w:val="32"/>
        </w:rPr>
      </w:pPr>
      <w:r>
        <w:rPr>
          <w:rFonts w:hint="eastAsia" w:ascii="黑体" w:eastAsia="黑体"/>
          <w:b w:val="0"/>
          <w:bCs/>
          <w:szCs w:val="32"/>
        </w:rPr>
        <w:t>第一章 总 则</w:t>
      </w:r>
    </w:p>
    <w:p>
      <w:pPr>
        <w:spacing w:line="360" w:lineRule="auto"/>
        <w:ind w:firstLine="602"/>
        <w:rPr>
          <w:rFonts w:ascii="宋体" w:hAnsi="宋体"/>
          <w:sz w:val="30"/>
          <w:szCs w:val="30"/>
        </w:rPr>
      </w:pPr>
      <w:r>
        <w:rPr>
          <w:rFonts w:hint="eastAsia" w:ascii="宋体" w:hAnsi="宋体"/>
          <w:b/>
          <w:sz w:val="30"/>
          <w:szCs w:val="30"/>
        </w:rPr>
        <w:t xml:space="preserve">第一条 </w:t>
      </w:r>
      <w:r>
        <w:rPr>
          <w:rFonts w:hint="eastAsia" w:ascii="宋体" w:hAnsi="宋体"/>
          <w:sz w:val="30"/>
          <w:szCs w:val="30"/>
        </w:rPr>
        <w:t>为认真落实项目建设年活动总体部署，加强和规范重点项目的管理、服务，保障重点项目顺利实施，带动全区经济持续健康发展，根据有关法律、法规和政策的规定，结合龙亭区实际，制定本办法。</w:t>
      </w:r>
    </w:p>
    <w:p>
      <w:pPr>
        <w:spacing w:line="360" w:lineRule="auto"/>
        <w:ind w:firstLine="602"/>
        <w:rPr>
          <w:rFonts w:ascii="宋体" w:hAnsi="宋体"/>
          <w:sz w:val="30"/>
          <w:szCs w:val="30"/>
        </w:rPr>
      </w:pPr>
      <w:r>
        <w:rPr>
          <w:rFonts w:hint="eastAsia" w:ascii="宋体" w:hAnsi="宋体"/>
          <w:b/>
          <w:sz w:val="30"/>
          <w:szCs w:val="30"/>
        </w:rPr>
        <w:t xml:space="preserve">第二条 </w:t>
      </w:r>
      <w:r>
        <w:rPr>
          <w:rFonts w:hint="eastAsia" w:ascii="宋体" w:hAnsi="宋体"/>
          <w:sz w:val="30"/>
          <w:szCs w:val="30"/>
        </w:rPr>
        <w:t>本办法适用于本区行政区域内的重点项目。</w:t>
      </w:r>
    </w:p>
    <w:p>
      <w:pPr>
        <w:spacing w:line="360" w:lineRule="auto"/>
        <w:ind w:firstLine="602"/>
        <w:rPr>
          <w:rFonts w:ascii="宋体" w:hAnsi="宋体"/>
          <w:sz w:val="30"/>
          <w:szCs w:val="30"/>
        </w:rPr>
      </w:pPr>
      <w:r>
        <w:rPr>
          <w:rFonts w:hint="eastAsia" w:ascii="宋体" w:hAnsi="宋体"/>
          <w:b/>
          <w:sz w:val="30"/>
          <w:szCs w:val="30"/>
        </w:rPr>
        <w:t xml:space="preserve">第三条 </w:t>
      </w:r>
      <w:r>
        <w:rPr>
          <w:rFonts w:hint="eastAsia" w:ascii="宋体" w:hAnsi="宋体"/>
          <w:sz w:val="30"/>
          <w:szCs w:val="30"/>
        </w:rPr>
        <w:t>本办法所称重点项目，是指纳入区重点项目名单的建设项目；所称重大项目，是指列入市年度重点项目库的重点项目。</w:t>
      </w:r>
    </w:p>
    <w:p>
      <w:pPr>
        <w:spacing w:line="360" w:lineRule="auto"/>
        <w:ind w:firstLine="602"/>
        <w:rPr>
          <w:rFonts w:ascii="宋体" w:hAnsi="宋体"/>
          <w:sz w:val="30"/>
          <w:szCs w:val="30"/>
        </w:rPr>
      </w:pPr>
      <w:r>
        <w:rPr>
          <w:rFonts w:hint="eastAsia" w:ascii="宋体" w:hAnsi="宋体"/>
          <w:b/>
          <w:sz w:val="30"/>
          <w:szCs w:val="30"/>
        </w:rPr>
        <w:t xml:space="preserve">第四条 </w:t>
      </w:r>
      <w:r>
        <w:rPr>
          <w:rFonts w:hint="eastAsia" w:ascii="宋体" w:hAnsi="宋体"/>
          <w:sz w:val="30"/>
          <w:szCs w:val="30"/>
        </w:rPr>
        <w:t>区委重大项目推进工作委员会负责指导全区重点项目综合管理、计划编制、调度推进、协调服务、考核奖惩等工作。区委重大项目推进工作委员会办公室（以下简称“区项目办”）负责日常工作。</w:t>
      </w:r>
    </w:p>
    <w:p>
      <w:pPr>
        <w:spacing w:line="360" w:lineRule="auto"/>
        <w:ind w:firstLine="643"/>
        <w:jc w:val="center"/>
        <w:rPr>
          <w:rFonts w:ascii="黑体" w:hAnsi="宋体" w:eastAsia="黑体"/>
          <w:b w:val="0"/>
          <w:bCs/>
          <w:szCs w:val="32"/>
        </w:rPr>
      </w:pPr>
      <w:r>
        <w:rPr>
          <w:rFonts w:hint="eastAsia" w:ascii="黑体" w:hAnsi="宋体" w:eastAsia="黑体"/>
          <w:b w:val="0"/>
          <w:bCs/>
          <w:szCs w:val="32"/>
        </w:rPr>
        <w:t>第二章 项目谋划与储备</w:t>
      </w:r>
    </w:p>
    <w:p>
      <w:pPr>
        <w:spacing w:line="360" w:lineRule="auto"/>
        <w:ind w:firstLine="602"/>
        <w:rPr>
          <w:rFonts w:ascii="宋体" w:hAnsi="宋体"/>
          <w:sz w:val="30"/>
          <w:szCs w:val="30"/>
        </w:rPr>
      </w:pPr>
      <w:r>
        <w:rPr>
          <w:rFonts w:hint="eastAsia" w:ascii="宋体" w:hAnsi="宋体"/>
          <w:b/>
          <w:sz w:val="30"/>
          <w:szCs w:val="30"/>
        </w:rPr>
        <w:t xml:space="preserve">第五条 </w:t>
      </w:r>
      <w:r>
        <w:rPr>
          <w:rFonts w:hint="eastAsia" w:ascii="宋体" w:hAnsi="宋体"/>
          <w:sz w:val="30"/>
          <w:szCs w:val="30"/>
        </w:rPr>
        <w:t>发展改革部门负责项目谋划与储备工作，围绕上级战略部署和工作重点，谋划储备重大项目，促进重大战略项目化，并积极争取上级支持。</w:t>
      </w:r>
    </w:p>
    <w:p>
      <w:pPr>
        <w:spacing w:line="360" w:lineRule="auto"/>
        <w:ind w:firstLine="602"/>
        <w:rPr>
          <w:rFonts w:ascii="宋体" w:hAnsi="宋体"/>
          <w:sz w:val="30"/>
          <w:szCs w:val="30"/>
        </w:rPr>
      </w:pPr>
      <w:r>
        <w:rPr>
          <w:rFonts w:hint="eastAsia" w:ascii="宋体" w:hAnsi="宋体"/>
          <w:b/>
          <w:sz w:val="30"/>
          <w:szCs w:val="30"/>
        </w:rPr>
        <w:t>第六条</w:t>
      </w:r>
      <w:r>
        <w:rPr>
          <w:rFonts w:hint="eastAsia" w:ascii="宋体" w:hAnsi="宋体"/>
          <w:sz w:val="30"/>
          <w:szCs w:val="30"/>
        </w:rPr>
        <w:t xml:space="preserve">  区项目办建立区重点项目储备库。各乡、办和区直单位负责本辖区、本行业重点项目的谋划、储备和入库上报工作。区项目办将各乡（办）、区直部门推荐的谋划和储备项目及时入库，实行动态管理，确保持续拥有一批数量充足、结构合理、质量过硬的谋划和储备项目。</w:t>
      </w:r>
    </w:p>
    <w:p>
      <w:pPr>
        <w:spacing w:line="360" w:lineRule="auto"/>
        <w:ind w:firstLine="643"/>
        <w:jc w:val="center"/>
        <w:rPr>
          <w:rFonts w:ascii="黑体" w:hAnsi="宋体" w:eastAsia="黑体"/>
          <w:b w:val="0"/>
          <w:bCs/>
          <w:szCs w:val="32"/>
        </w:rPr>
      </w:pPr>
      <w:r>
        <w:rPr>
          <w:rFonts w:hint="eastAsia" w:ascii="黑体" w:hAnsi="宋体" w:eastAsia="黑体"/>
          <w:b w:val="0"/>
          <w:bCs/>
          <w:szCs w:val="32"/>
        </w:rPr>
        <w:t>第三章 重点项目申报与确定</w:t>
      </w:r>
    </w:p>
    <w:p>
      <w:pPr>
        <w:spacing w:line="360" w:lineRule="auto"/>
        <w:ind w:firstLine="602"/>
        <w:rPr>
          <w:rFonts w:ascii="宋体" w:hAnsi="宋体"/>
          <w:sz w:val="30"/>
          <w:szCs w:val="30"/>
        </w:rPr>
      </w:pPr>
      <w:r>
        <w:rPr>
          <w:rFonts w:hint="eastAsia" w:ascii="宋体" w:hAnsi="宋体"/>
          <w:b/>
          <w:sz w:val="30"/>
          <w:szCs w:val="30"/>
        </w:rPr>
        <w:t xml:space="preserve">第七条 </w:t>
      </w:r>
      <w:r>
        <w:rPr>
          <w:rFonts w:hint="eastAsia" w:ascii="宋体" w:hAnsi="宋体"/>
          <w:sz w:val="30"/>
          <w:szCs w:val="30"/>
        </w:rPr>
        <w:t>区项目办根据区委、区政府决策部署、全区经济社会发展情况以及有关产业政策，聚焦关键领域和薄弱环节，按照引领示范、突出重点、质量优先的原则研究提出年度区重点项目选择指导目录。</w:t>
      </w:r>
    </w:p>
    <w:p>
      <w:pPr>
        <w:spacing w:line="360" w:lineRule="auto"/>
        <w:ind w:firstLine="602"/>
        <w:rPr>
          <w:rFonts w:ascii="宋体" w:hAnsi="宋体"/>
          <w:sz w:val="30"/>
          <w:szCs w:val="30"/>
        </w:rPr>
      </w:pPr>
      <w:r>
        <w:rPr>
          <w:rFonts w:hint="eastAsia" w:ascii="宋体" w:hAnsi="宋体"/>
          <w:b/>
          <w:sz w:val="30"/>
          <w:szCs w:val="30"/>
        </w:rPr>
        <w:t xml:space="preserve">第八条 </w:t>
      </w:r>
      <w:r>
        <w:rPr>
          <w:rFonts w:hint="eastAsia" w:ascii="宋体" w:hAnsi="宋体"/>
          <w:sz w:val="30"/>
          <w:szCs w:val="30"/>
        </w:rPr>
        <w:t>申报区重点项目的条件及要求：符合我区产业规划，对全区经济社会发展和产业升级、结构调整的项目且投资额度在5000万元以上（包含5000万元）;具有较大影响的民生项目、重要基础设施项目、政府投资项目。</w:t>
      </w:r>
    </w:p>
    <w:p>
      <w:pPr>
        <w:spacing w:line="360" w:lineRule="auto"/>
        <w:ind w:firstLine="602"/>
        <w:rPr>
          <w:rFonts w:ascii="宋体" w:hAnsi="宋体"/>
          <w:sz w:val="30"/>
          <w:szCs w:val="30"/>
        </w:rPr>
      </w:pPr>
      <w:r>
        <w:rPr>
          <w:rFonts w:hint="eastAsia" w:ascii="宋体" w:hAnsi="宋体"/>
          <w:b/>
          <w:sz w:val="30"/>
          <w:szCs w:val="30"/>
        </w:rPr>
        <w:t>第九条</w:t>
      </w:r>
      <w:r>
        <w:rPr>
          <w:rFonts w:hint="eastAsia" w:ascii="宋体" w:hAnsi="宋体"/>
          <w:sz w:val="30"/>
          <w:szCs w:val="30"/>
        </w:rPr>
        <w:t xml:space="preserve"> 确定区重点项目的程序：</w:t>
      </w:r>
    </w:p>
    <w:p>
      <w:pPr>
        <w:spacing w:line="360" w:lineRule="auto"/>
        <w:ind w:firstLine="600"/>
        <w:rPr>
          <w:rFonts w:ascii="宋体" w:hAnsi="宋体"/>
          <w:sz w:val="30"/>
          <w:szCs w:val="30"/>
        </w:rPr>
      </w:pPr>
      <w:r>
        <w:rPr>
          <w:rFonts w:hint="eastAsia" w:ascii="宋体" w:hAnsi="宋体"/>
          <w:sz w:val="30"/>
          <w:szCs w:val="30"/>
        </w:rPr>
        <w:t>(一）项目单位向区、有关单位提出申请；</w:t>
      </w:r>
    </w:p>
    <w:p>
      <w:pPr>
        <w:spacing w:line="360" w:lineRule="auto"/>
        <w:ind w:firstLine="600"/>
        <w:rPr>
          <w:rFonts w:ascii="宋体" w:hAnsi="宋体"/>
          <w:sz w:val="30"/>
          <w:szCs w:val="30"/>
        </w:rPr>
      </w:pPr>
      <w:r>
        <w:rPr>
          <w:rFonts w:hint="eastAsia" w:ascii="宋体" w:hAnsi="宋体"/>
          <w:sz w:val="30"/>
          <w:szCs w:val="30"/>
        </w:rPr>
        <w:t>(二）各乡、办、区直单位根据重点项目选择指导目录要求，对申报项目要科学论证、严格把关，做好本辖区、本行业、申报项目收集汇总及初步筛选、上报工作；</w:t>
      </w:r>
    </w:p>
    <w:p>
      <w:pPr>
        <w:spacing w:line="360" w:lineRule="auto"/>
        <w:ind w:firstLine="600"/>
        <w:rPr>
          <w:rFonts w:ascii="宋体" w:hAnsi="宋体"/>
          <w:sz w:val="30"/>
          <w:szCs w:val="30"/>
        </w:rPr>
      </w:pPr>
      <w:r>
        <w:rPr>
          <w:rFonts w:hint="eastAsia" w:ascii="宋体" w:hAnsi="宋体"/>
          <w:sz w:val="30"/>
          <w:szCs w:val="30"/>
        </w:rPr>
        <w:t>(三）区项目办对各乡、办、区直单位上报的项目逐一核实，认真遴选，征求有关部门意见，形成年度重点项目名单草案，上报区重大项目推进工作委员会审定；</w:t>
      </w:r>
    </w:p>
    <w:p>
      <w:pPr>
        <w:spacing w:line="360" w:lineRule="auto"/>
        <w:ind w:firstLine="600"/>
        <w:rPr>
          <w:rFonts w:ascii="宋体" w:hAnsi="宋体"/>
          <w:sz w:val="30"/>
          <w:szCs w:val="30"/>
        </w:rPr>
      </w:pPr>
      <w:r>
        <w:rPr>
          <w:rFonts w:hint="eastAsia" w:ascii="宋体" w:hAnsi="宋体"/>
          <w:sz w:val="30"/>
          <w:szCs w:val="30"/>
        </w:rPr>
        <w:t>(四）经区委重大项目推进工作委员会审定，上报区委、区政府研究批准，确定为年度重点项目并印发实施。</w:t>
      </w:r>
    </w:p>
    <w:p>
      <w:pPr>
        <w:spacing w:line="360" w:lineRule="auto"/>
        <w:ind w:firstLine="602"/>
        <w:rPr>
          <w:rFonts w:ascii="宋体" w:hAnsi="宋体"/>
          <w:sz w:val="30"/>
          <w:szCs w:val="30"/>
        </w:rPr>
      </w:pPr>
      <w:r>
        <w:rPr>
          <w:rFonts w:hint="eastAsia" w:ascii="宋体" w:hAnsi="宋体"/>
          <w:b/>
          <w:sz w:val="30"/>
          <w:szCs w:val="30"/>
        </w:rPr>
        <w:t>第十条</w:t>
      </w:r>
      <w:r>
        <w:rPr>
          <w:rFonts w:hint="eastAsia" w:ascii="宋体" w:hAnsi="宋体"/>
          <w:sz w:val="30"/>
          <w:szCs w:val="30"/>
        </w:rPr>
        <w:t xml:space="preserve"> 根据投资规模、示范作用、民生关联程度及经济社会效益，在区重点项目中选取部分项目作为区领导分包重大项目进行管理。区重大项目是指列入开封市年度重点项目库的项目；对全区经济社会发展及产业升级具有全局意义、带动作用突出，且投资额度在1亿元以上（包括1亿元）的产业项目；具有重大影响的民生项目、重要基础设施项目、使用市本级以上的政府投资项目。</w:t>
      </w:r>
    </w:p>
    <w:p>
      <w:pPr>
        <w:spacing w:line="360" w:lineRule="auto"/>
        <w:ind w:firstLine="643"/>
        <w:jc w:val="center"/>
        <w:rPr>
          <w:rFonts w:ascii="黑体" w:hAnsi="宋体" w:eastAsia="黑体"/>
          <w:b w:val="0"/>
          <w:bCs/>
          <w:szCs w:val="32"/>
        </w:rPr>
      </w:pPr>
      <w:r>
        <w:rPr>
          <w:rFonts w:hint="eastAsia" w:ascii="黑体" w:hAnsi="宋体" w:eastAsia="黑体"/>
          <w:b w:val="0"/>
          <w:bCs/>
          <w:szCs w:val="32"/>
        </w:rPr>
        <w:t>第四章 审批服务与要素保障</w:t>
      </w:r>
    </w:p>
    <w:p>
      <w:pPr>
        <w:spacing w:line="360" w:lineRule="auto"/>
        <w:ind w:firstLine="602"/>
        <w:rPr>
          <w:rFonts w:ascii="宋体" w:hAnsi="宋体"/>
          <w:sz w:val="30"/>
          <w:szCs w:val="30"/>
        </w:rPr>
      </w:pPr>
      <w:r>
        <w:rPr>
          <w:rFonts w:hint="eastAsia" w:ascii="宋体" w:hAnsi="宋体"/>
          <w:b/>
          <w:sz w:val="30"/>
          <w:szCs w:val="30"/>
        </w:rPr>
        <w:t>第十一条</w:t>
      </w:r>
      <w:r>
        <w:rPr>
          <w:rFonts w:hint="eastAsia" w:ascii="黑体" w:hAnsi="宋体" w:eastAsia="黑体"/>
          <w:sz w:val="30"/>
          <w:szCs w:val="30"/>
        </w:rPr>
        <w:t xml:space="preserve"> </w:t>
      </w:r>
      <w:r>
        <w:rPr>
          <w:rFonts w:hint="eastAsia" w:ascii="宋体" w:hAnsi="宋体"/>
          <w:sz w:val="30"/>
          <w:szCs w:val="30"/>
        </w:rPr>
        <w:t>区发展改革、财政、国土、征收、生态环境、住房城乡建设、农业农村、消防救援、应急管理、市场监管等部门，分别对涉及本部门的行政许可事项、监督检查事项和支持保障工作负责，需报上级部门办理的，要全程跟踪服务。</w:t>
      </w:r>
    </w:p>
    <w:p>
      <w:pPr>
        <w:spacing w:line="360" w:lineRule="auto"/>
        <w:ind w:firstLine="602"/>
        <w:rPr>
          <w:rFonts w:ascii="宋体" w:hAnsi="宋体"/>
          <w:sz w:val="30"/>
          <w:szCs w:val="30"/>
        </w:rPr>
      </w:pPr>
      <w:r>
        <w:rPr>
          <w:rFonts w:hint="eastAsia" w:ascii="宋体" w:hAnsi="宋体"/>
          <w:b/>
          <w:sz w:val="30"/>
          <w:szCs w:val="30"/>
        </w:rPr>
        <w:t>第十二条</w:t>
      </w:r>
      <w:r>
        <w:rPr>
          <w:rFonts w:hint="eastAsia" w:ascii="黑体" w:hAnsi="宋体" w:eastAsia="黑体"/>
          <w:sz w:val="30"/>
          <w:szCs w:val="30"/>
        </w:rPr>
        <w:t xml:space="preserve"> </w:t>
      </w:r>
      <w:r>
        <w:rPr>
          <w:rFonts w:hint="eastAsia" w:ascii="宋体" w:hAnsi="宋体"/>
          <w:sz w:val="30"/>
          <w:szCs w:val="30"/>
        </w:rPr>
        <w:t>各审批职能部门要按照行政审批制度改革和“放管服”改革要求，在区重点项目前期手续办理过程中，切实加强并联审批，减少审批环节，压缩审批时限，优化审批流程，建立绿色审批通道，提升审批效率和服务质量。</w:t>
      </w:r>
    </w:p>
    <w:p>
      <w:pPr>
        <w:spacing w:line="360" w:lineRule="auto"/>
        <w:ind w:firstLine="602"/>
        <w:rPr>
          <w:rFonts w:ascii="宋体" w:hAnsi="宋体"/>
          <w:sz w:val="30"/>
          <w:szCs w:val="30"/>
        </w:rPr>
      </w:pPr>
      <w:r>
        <w:rPr>
          <w:rFonts w:hint="eastAsia" w:ascii="宋体" w:hAnsi="宋体"/>
          <w:b/>
          <w:sz w:val="30"/>
          <w:szCs w:val="30"/>
        </w:rPr>
        <w:t>第十三条</w:t>
      </w:r>
      <w:r>
        <w:rPr>
          <w:rFonts w:hint="eastAsia" w:ascii="宋体" w:hAnsi="宋体"/>
          <w:sz w:val="30"/>
          <w:szCs w:val="30"/>
        </w:rPr>
        <w:t xml:space="preserve"> 优化建设环境。减少重污染天气管控对重点项目建设的影响，重点项目在严格落实“六个百分之百”施工要求的前提下可正常施工。</w:t>
      </w:r>
    </w:p>
    <w:p>
      <w:pPr>
        <w:spacing w:line="360" w:lineRule="auto"/>
        <w:ind w:firstLine="600"/>
        <w:rPr>
          <w:rFonts w:ascii="宋体" w:hAnsi="宋体"/>
          <w:sz w:val="30"/>
          <w:szCs w:val="30"/>
        </w:rPr>
      </w:pPr>
      <w:r>
        <w:rPr>
          <w:rFonts w:hint="eastAsia" w:ascii="宋体" w:hAnsi="宋体"/>
          <w:sz w:val="30"/>
          <w:szCs w:val="30"/>
        </w:rPr>
        <w:t>各项目责任单位要切实负起责任，积极协调相关职能部门不得随意检查、处罚项目单位，更不得随意下令停工。</w:t>
      </w:r>
    </w:p>
    <w:p>
      <w:pPr>
        <w:spacing w:line="360" w:lineRule="auto"/>
        <w:ind w:firstLine="602"/>
        <w:rPr>
          <w:rFonts w:ascii="宋体" w:hAnsi="宋体"/>
          <w:sz w:val="30"/>
          <w:szCs w:val="30"/>
        </w:rPr>
      </w:pPr>
      <w:r>
        <w:rPr>
          <w:rFonts w:hint="eastAsia" w:ascii="宋体" w:hAnsi="宋体"/>
          <w:b/>
          <w:sz w:val="30"/>
          <w:szCs w:val="30"/>
        </w:rPr>
        <w:t>第十四条</w:t>
      </w:r>
      <w:r>
        <w:rPr>
          <w:rFonts w:hint="eastAsia" w:ascii="宋体" w:hAnsi="宋体"/>
          <w:sz w:val="30"/>
          <w:szCs w:val="30"/>
        </w:rPr>
        <w:t xml:space="preserve"> 完善要素资源配置机制，确保重点项目需要。</w:t>
      </w:r>
    </w:p>
    <w:p>
      <w:pPr>
        <w:spacing w:line="360" w:lineRule="auto"/>
        <w:ind w:firstLine="602"/>
        <w:rPr>
          <w:rFonts w:ascii="宋体" w:hAnsi="宋体"/>
          <w:sz w:val="30"/>
          <w:szCs w:val="30"/>
        </w:rPr>
      </w:pPr>
      <w:r>
        <w:rPr>
          <w:rFonts w:hint="eastAsia" w:ascii="宋体" w:hAnsi="宋体"/>
          <w:b/>
          <w:sz w:val="30"/>
          <w:szCs w:val="30"/>
        </w:rPr>
        <w:t>(一）全力保障用地。</w:t>
      </w:r>
      <w:r>
        <w:rPr>
          <w:rFonts w:hint="eastAsia" w:ascii="宋体" w:hAnsi="宋体"/>
          <w:sz w:val="30"/>
          <w:szCs w:val="30"/>
        </w:rPr>
        <w:t>国土部门要积极协调上级部门申请、调整建设用地指标，绘制、更新全区土地利用规划图，从全市年度新增建设用地计划指标、城乡建设用地增减挂钩周转指标、耕地占补平衡指标中优先保证重点项目建设用地，做到应保尽保。</w:t>
      </w:r>
    </w:p>
    <w:p>
      <w:pPr>
        <w:spacing w:line="360" w:lineRule="auto"/>
        <w:ind w:firstLine="600"/>
        <w:rPr>
          <w:rFonts w:ascii="宋体" w:hAnsi="宋体"/>
          <w:sz w:val="30"/>
          <w:szCs w:val="30"/>
        </w:rPr>
      </w:pPr>
      <w:r>
        <w:rPr>
          <w:rFonts w:hint="eastAsia" w:ascii="宋体" w:hAnsi="宋体"/>
          <w:sz w:val="30"/>
          <w:szCs w:val="30"/>
        </w:rPr>
        <w:t xml:space="preserve"> </w:t>
      </w:r>
      <w:r>
        <w:rPr>
          <w:rFonts w:hint="eastAsia" w:ascii="宋体" w:hAnsi="宋体"/>
          <w:b/>
          <w:sz w:val="30"/>
          <w:szCs w:val="30"/>
        </w:rPr>
        <w:t>(二）优先保障环境容量。</w:t>
      </w:r>
      <w:r>
        <w:rPr>
          <w:rFonts w:hint="eastAsia" w:ascii="宋体" w:hAnsi="宋体"/>
          <w:sz w:val="30"/>
          <w:szCs w:val="30"/>
        </w:rPr>
        <w:t>生态环境部门对所需环境总量指标进行平衡测算，落实减排措施，优先保障重点项目环境容量，重点保障重大项目环境容量。</w:t>
      </w:r>
    </w:p>
    <w:p>
      <w:pPr>
        <w:spacing w:line="360" w:lineRule="auto"/>
        <w:ind w:firstLine="600"/>
        <w:rPr>
          <w:rFonts w:ascii="宋体" w:hAnsi="宋体"/>
          <w:sz w:val="30"/>
          <w:szCs w:val="30"/>
        </w:rPr>
      </w:pPr>
      <w:r>
        <w:rPr>
          <w:rFonts w:hint="eastAsia" w:ascii="宋体" w:hAnsi="宋体"/>
          <w:sz w:val="30"/>
          <w:szCs w:val="30"/>
        </w:rPr>
        <w:t xml:space="preserve"> (</w:t>
      </w:r>
      <w:r>
        <w:rPr>
          <w:rFonts w:hint="eastAsia" w:ascii="宋体" w:hAnsi="宋体"/>
          <w:b/>
          <w:sz w:val="30"/>
          <w:szCs w:val="30"/>
        </w:rPr>
        <w:t>三）强化金融服务。</w:t>
      </w:r>
      <w:r>
        <w:rPr>
          <w:rFonts w:hint="eastAsia" w:ascii="宋体" w:hAnsi="宋体"/>
          <w:sz w:val="30"/>
          <w:szCs w:val="30"/>
        </w:rPr>
        <w:t xml:space="preserve">区财政、金融部门应主动向金融机构推介区重大项目，加强业务指导，定期组织全区银企对接会，鼓励和引导各商业银行信托、投资等投向区重大项目。创新融资方式，积极推广政府与社会资本合作； </w:t>
      </w:r>
    </w:p>
    <w:p>
      <w:pPr>
        <w:spacing w:line="360" w:lineRule="auto"/>
        <w:ind w:firstLine="602"/>
        <w:rPr>
          <w:rFonts w:ascii="宋体" w:hAnsi="宋体"/>
          <w:sz w:val="30"/>
          <w:szCs w:val="30"/>
        </w:rPr>
      </w:pPr>
      <w:r>
        <w:rPr>
          <w:rFonts w:hint="eastAsia" w:ascii="宋体" w:hAnsi="宋体"/>
          <w:b/>
          <w:sz w:val="30"/>
          <w:szCs w:val="30"/>
        </w:rPr>
        <w:t>(四）做好其他要素保障。</w:t>
      </w:r>
      <w:r>
        <w:rPr>
          <w:rFonts w:hint="eastAsia" w:ascii="宋体" w:hAnsi="宋体"/>
          <w:sz w:val="30"/>
          <w:szCs w:val="30"/>
        </w:rPr>
        <w:t>各乡办及有关职能部门要主动加强与区重点项目单位对接并积极联系上级主管部门，及时做好水、电、道路和雨污水排放等配套设施建设，保障重点项目建设和投产运营管理。</w:t>
      </w:r>
    </w:p>
    <w:p>
      <w:pPr>
        <w:spacing w:line="360" w:lineRule="auto"/>
        <w:ind w:firstLine="643"/>
        <w:jc w:val="center"/>
        <w:rPr>
          <w:rFonts w:hint="eastAsia" w:ascii="黑体" w:hAnsi="黑体" w:eastAsia="黑体" w:cs="黑体"/>
          <w:b w:val="0"/>
          <w:bCs/>
          <w:szCs w:val="32"/>
        </w:rPr>
      </w:pPr>
      <w:r>
        <w:rPr>
          <w:rFonts w:hint="eastAsia" w:ascii="黑体" w:hAnsi="黑体" w:eastAsia="黑体" w:cs="黑体"/>
          <w:b w:val="0"/>
          <w:bCs/>
          <w:szCs w:val="32"/>
        </w:rPr>
        <w:t>第五章项目建设与推进</w:t>
      </w:r>
    </w:p>
    <w:p>
      <w:pPr>
        <w:spacing w:line="360" w:lineRule="auto"/>
        <w:ind w:firstLine="602"/>
        <w:rPr>
          <w:rFonts w:ascii="宋体" w:hAnsi="宋体"/>
          <w:sz w:val="30"/>
          <w:szCs w:val="30"/>
        </w:rPr>
      </w:pPr>
      <w:r>
        <w:rPr>
          <w:rFonts w:hint="eastAsia" w:ascii="宋体" w:hAnsi="宋体"/>
          <w:b/>
          <w:sz w:val="30"/>
          <w:szCs w:val="30"/>
        </w:rPr>
        <w:t>第十五条</w:t>
      </w:r>
      <w:r>
        <w:rPr>
          <w:rFonts w:hint="eastAsia" w:ascii="宋体" w:hAnsi="宋体"/>
          <w:sz w:val="30"/>
          <w:szCs w:val="30"/>
        </w:rPr>
        <w:t xml:space="preserve"> 明确责任分工。项目建设单位（法人）是项目建设实施的责任主体，对项目建设手续办理、资金落实、招标投标、建设进度、工程质量、安全生产、污染防治、廉政建设等全面负责。要严格执行国家各项法律法规和有关规定，建立健全相应的责任体系；要强化对项目勘察设计、施工、监理等参建单位和设备、材料供应商的管理，认真做好环境保护等工作；要精心组织，科学调度，有序推进项目实施，确保按计划完成目标任务；要自觉接受相关部门监督，及时、客观、准确地向区项目办报送项目建设进展情况和存在的主要问题，并对上报的各类信息真实性负责。</w:t>
      </w:r>
    </w:p>
    <w:p>
      <w:pPr>
        <w:spacing w:line="360" w:lineRule="auto"/>
        <w:ind w:firstLine="600"/>
        <w:rPr>
          <w:rFonts w:ascii="宋体" w:hAnsi="宋体"/>
          <w:sz w:val="30"/>
          <w:szCs w:val="30"/>
        </w:rPr>
      </w:pPr>
      <w:r>
        <w:rPr>
          <w:rFonts w:hint="eastAsia" w:ascii="宋体" w:hAnsi="宋体"/>
          <w:sz w:val="30"/>
          <w:szCs w:val="30"/>
        </w:rPr>
        <w:t>各乡（办）对辖区内重点项目涉及的选址、征地拆迁、安置补偿、建设环境、等方面工作负责。</w:t>
      </w:r>
    </w:p>
    <w:p>
      <w:pPr>
        <w:spacing w:line="360" w:lineRule="auto"/>
        <w:ind w:firstLine="602"/>
        <w:rPr>
          <w:rFonts w:ascii="宋体" w:hAnsi="宋体"/>
          <w:sz w:val="30"/>
          <w:szCs w:val="30"/>
        </w:rPr>
      </w:pPr>
      <w:r>
        <w:rPr>
          <w:rFonts w:hint="eastAsia" w:ascii="宋体" w:hAnsi="宋体"/>
          <w:b/>
          <w:sz w:val="30"/>
          <w:szCs w:val="30"/>
        </w:rPr>
        <w:t>第十六条</w:t>
      </w:r>
      <w:r>
        <w:rPr>
          <w:rFonts w:hint="eastAsia" w:ascii="宋体" w:hAnsi="宋体"/>
          <w:sz w:val="30"/>
          <w:szCs w:val="30"/>
        </w:rPr>
        <w:t xml:space="preserve"> 继续坚持区委区政府重大项目“月排名、双月点评、季度观摩”机制</w:t>
      </w:r>
    </w:p>
    <w:p>
      <w:pPr>
        <w:spacing w:line="360" w:lineRule="auto"/>
        <w:ind w:firstLine="602"/>
        <w:rPr>
          <w:rFonts w:ascii="宋体" w:hAnsi="宋体"/>
          <w:sz w:val="30"/>
          <w:szCs w:val="30"/>
        </w:rPr>
      </w:pPr>
      <w:r>
        <w:rPr>
          <w:rFonts w:hint="eastAsia" w:ascii="宋体" w:hAnsi="宋体"/>
          <w:b/>
          <w:sz w:val="30"/>
          <w:szCs w:val="30"/>
        </w:rPr>
        <w:t>(一）完善交办制度。</w:t>
      </w:r>
      <w:r>
        <w:rPr>
          <w:rFonts w:hint="eastAsia" w:ascii="宋体" w:hAnsi="宋体"/>
          <w:sz w:val="30"/>
          <w:szCs w:val="30"/>
        </w:rPr>
        <w:t>围绕项目建设重点、难点，区委区政府在重点工作周调度会上交办重大项目建设有关事项。</w:t>
      </w:r>
    </w:p>
    <w:p>
      <w:pPr>
        <w:spacing w:line="360" w:lineRule="auto"/>
        <w:ind w:firstLine="600"/>
        <w:rPr>
          <w:rFonts w:ascii="宋体" w:hAnsi="宋体"/>
          <w:sz w:val="30"/>
          <w:szCs w:val="30"/>
        </w:rPr>
      </w:pPr>
      <w:r>
        <w:rPr>
          <w:rFonts w:hint="eastAsia" w:ascii="宋体" w:hAnsi="宋体"/>
          <w:sz w:val="30"/>
          <w:szCs w:val="30"/>
        </w:rPr>
        <w:t>完善项目建设“列单、交单、办单、清单”四单管理制度。区项目办列出问题清单，报分包区领导；经分包区领导进一步研判后，将问题交予涉及的责任单位和相关部门办理解决；相关部门及时反馈问题解决和办理情况。</w:t>
      </w:r>
    </w:p>
    <w:p>
      <w:pPr>
        <w:spacing w:line="360" w:lineRule="auto"/>
        <w:ind w:firstLine="602"/>
        <w:rPr>
          <w:rFonts w:ascii="宋体" w:hAnsi="宋体"/>
          <w:sz w:val="30"/>
          <w:szCs w:val="30"/>
        </w:rPr>
      </w:pPr>
      <w:r>
        <w:rPr>
          <w:rFonts w:hint="eastAsia" w:ascii="宋体" w:hAnsi="宋体"/>
          <w:b/>
          <w:sz w:val="30"/>
          <w:szCs w:val="30"/>
        </w:rPr>
        <w:t>(二）完善重大项目区领导分包责任制。</w:t>
      </w:r>
      <w:r>
        <w:rPr>
          <w:rFonts w:hint="eastAsia" w:ascii="宋体" w:hAnsi="宋体"/>
          <w:sz w:val="30"/>
          <w:szCs w:val="30"/>
        </w:rPr>
        <w:t>每个区重大项目明确一名区领导作为分包领导；每个区重大项目责任单位确定一名项目首席服务官。明确一个项目、一名领导、一套班子、一条龙服务，形成闭环管理。</w:t>
      </w:r>
    </w:p>
    <w:p>
      <w:pPr>
        <w:spacing w:line="360" w:lineRule="auto"/>
        <w:ind w:firstLine="602"/>
        <w:rPr>
          <w:rFonts w:ascii="宋体" w:hAnsi="宋体"/>
          <w:sz w:val="30"/>
          <w:szCs w:val="30"/>
        </w:rPr>
      </w:pPr>
      <w:r>
        <w:rPr>
          <w:rFonts w:hint="eastAsia" w:ascii="宋体" w:hAnsi="宋体"/>
          <w:b/>
          <w:sz w:val="30"/>
          <w:szCs w:val="30"/>
        </w:rPr>
        <w:t>第十七条</w:t>
      </w:r>
      <w:r>
        <w:rPr>
          <w:rFonts w:hint="eastAsia" w:ascii="宋体" w:hAnsi="宋体"/>
          <w:sz w:val="30"/>
          <w:szCs w:val="30"/>
        </w:rPr>
        <w:t xml:space="preserve"> 实行区四大班子联席会议制度。研究全区重大产业项目布局规划、省市重点项目申报确定；听取区重点项目和重大项目建设进展情况汇报，解决全局性、跨区域以及项目建设难题。</w:t>
      </w:r>
    </w:p>
    <w:p>
      <w:pPr>
        <w:spacing w:line="360" w:lineRule="auto"/>
        <w:ind w:firstLine="602"/>
        <w:rPr>
          <w:rFonts w:ascii="宋体" w:hAnsi="宋体"/>
          <w:sz w:val="30"/>
          <w:szCs w:val="30"/>
        </w:rPr>
      </w:pPr>
      <w:r>
        <w:rPr>
          <w:rFonts w:hint="eastAsia" w:ascii="宋体" w:hAnsi="宋体"/>
          <w:b/>
          <w:sz w:val="30"/>
          <w:szCs w:val="30"/>
        </w:rPr>
        <w:t>第十八条</w:t>
      </w:r>
      <w:r>
        <w:rPr>
          <w:rFonts w:hint="eastAsia" w:ascii="宋体" w:hAnsi="宋体"/>
          <w:sz w:val="30"/>
          <w:szCs w:val="30"/>
        </w:rPr>
        <w:t xml:space="preserve"> 建立重大项目信息动态管理制度。项目责任单位落实项目监督职责，按要求开展日常监督，指定专人负责信息报送工作，按月通过区重点项目建设平台认真核实填报进度数据和信息，随时监督项目开工情况、投资完成情况、项目建设进度及月调度执行情况。对区重大项目要根据年初所指定的时间节点（投资、形象进度）加强监督，确保重大项目有序推进。</w:t>
      </w:r>
    </w:p>
    <w:p>
      <w:pPr>
        <w:spacing w:line="360" w:lineRule="auto"/>
        <w:ind w:firstLine="600"/>
        <w:rPr>
          <w:rFonts w:ascii="宋体" w:hAnsi="宋体"/>
          <w:sz w:val="30"/>
          <w:szCs w:val="30"/>
        </w:rPr>
      </w:pPr>
      <w:r>
        <w:rPr>
          <w:rFonts w:hint="eastAsia" w:ascii="宋体" w:hAnsi="宋体"/>
          <w:sz w:val="30"/>
          <w:szCs w:val="30"/>
        </w:rPr>
        <w:t>区项目办负责收集、整理并发布区重大项目动态信息，及时向区委、区政府报送区重大项目月度考评结果。</w:t>
      </w:r>
    </w:p>
    <w:p>
      <w:pPr>
        <w:numPr>
          <w:ilvl w:val="0"/>
          <w:numId w:val="1"/>
        </w:numPr>
        <w:spacing w:line="360" w:lineRule="auto"/>
        <w:ind w:firstLine="600"/>
      </w:pPr>
      <w:r>
        <w:rPr>
          <w:rFonts w:hint="eastAsia" w:ascii="宋体" w:hAnsi="宋体"/>
          <w:sz w:val="30"/>
          <w:szCs w:val="30"/>
        </w:rPr>
        <w:t>建立区重点项目台账管理制度。区项目办、各乡、办及区直部门对区重点项目要建立包括基本概况、建设目标、具体任务进展情况等内容的项目台账，建立包括存在问题、解决标准、解决时限、责任单位与责任人等内容的问题台账。定期通报情况，实行从项目开工到竣工投产全过程覆盖。</w:t>
      </w:r>
    </w:p>
    <w:p>
      <w:pPr>
        <w:pStyle w:val="2"/>
        <w:ind w:firstLine="640"/>
        <w:rPr>
          <w:rFonts w:ascii="宋体" w:hAnsi="宋体"/>
          <w:sz w:val="30"/>
          <w:szCs w:val="30"/>
        </w:rPr>
      </w:pPr>
      <w:r>
        <w:rPr>
          <w:rFonts w:hint="eastAsia"/>
          <w:szCs w:val="32"/>
        </w:rPr>
        <w:drawing>
          <wp:anchor distT="0" distB="0" distL="114300" distR="114300" simplePos="0" relativeHeight="251661312" behindDoc="0" locked="0" layoutInCell="1" allowOverlap="1">
            <wp:simplePos x="0" y="0"/>
            <wp:positionH relativeFrom="column">
              <wp:posOffset>3171190</wp:posOffset>
            </wp:positionH>
            <wp:positionV relativeFrom="paragraph">
              <wp:posOffset>44450</wp:posOffset>
            </wp:positionV>
            <wp:extent cx="1436370" cy="1430020"/>
            <wp:effectExtent l="43815" t="5715" r="24765" b="50165"/>
            <wp:wrapNone/>
            <wp:docPr id="4" name="图片 4" descr="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电子章"/>
                    <pic:cNvPicPr>
                      <a:picLocks noChangeAspect="1"/>
                    </pic:cNvPicPr>
                  </pic:nvPicPr>
                  <pic:blipFill>
                    <a:blip r:embed="rId8"/>
                    <a:stretch>
                      <a:fillRect/>
                    </a:stretch>
                  </pic:blipFill>
                  <pic:spPr>
                    <a:xfrm rot="21180000">
                      <a:off x="0" y="0"/>
                      <a:ext cx="1436370" cy="1430020"/>
                    </a:xfrm>
                    <a:prstGeom prst="rect">
                      <a:avLst/>
                    </a:prstGeom>
                  </pic:spPr>
                </pic:pic>
              </a:graphicData>
            </a:graphic>
          </wp:anchor>
        </w:drawing>
      </w:r>
    </w:p>
    <w:p>
      <w:pPr>
        <w:widowControl w:val="0"/>
        <w:spacing w:line="600" w:lineRule="exact"/>
        <w:ind w:firstLine="600"/>
        <w:jc w:val="center"/>
        <w:rPr>
          <w:szCs w:val="32"/>
        </w:rPr>
      </w:pPr>
      <w:r>
        <w:rPr>
          <w:rFonts w:hint="eastAsia" w:ascii="宋体" w:hAnsi="宋体"/>
          <w:sz w:val="30"/>
          <w:szCs w:val="30"/>
        </w:rPr>
        <w:t xml:space="preserve">      </w:t>
      </w:r>
      <w:r>
        <w:rPr>
          <w:rFonts w:hint="eastAsia"/>
          <w:szCs w:val="32"/>
        </w:rPr>
        <w:t xml:space="preserve">            </w:t>
      </w:r>
      <w:r>
        <w:rPr>
          <w:rFonts w:hint="eastAsia" w:ascii="仿宋_GB2312" w:hAnsi="仿宋_GB2312" w:cs="仿宋_GB2312"/>
          <w:szCs w:val="32"/>
        </w:rPr>
        <w:t>2022年3月7日</w:t>
      </w:r>
    </w:p>
    <w:p>
      <w:pPr>
        <w:ind w:firstLine="640"/>
      </w:pPr>
    </w:p>
    <w:p>
      <w:pPr>
        <w:widowControl w:val="0"/>
        <w:ind w:firstLine="640"/>
        <w:jc w:val="right"/>
        <w:rPr>
          <w:szCs w:val="32"/>
        </w:rPr>
      </w:pPr>
    </w:p>
    <w:p>
      <w:pPr>
        <w:widowControl w:val="0"/>
        <w:ind w:firstLine="640"/>
        <w:jc w:val="right"/>
        <w:rPr>
          <w:szCs w:val="32"/>
        </w:rPr>
      </w:pPr>
    </w:p>
    <w:p>
      <w:pPr>
        <w:widowControl w:val="0"/>
        <w:ind w:firstLine="640"/>
        <w:jc w:val="right"/>
        <w:rPr>
          <w:szCs w:val="32"/>
        </w:rPr>
      </w:pPr>
    </w:p>
    <w:p>
      <w:pPr>
        <w:widowControl w:val="0"/>
        <w:ind w:firstLine="0" w:firstLineChars="0"/>
        <w:rPr>
          <w:szCs w:val="32"/>
        </w:rPr>
      </w:pPr>
    </w:p>
    <w:p>
      <w:pPr>
        <w:widowControl w:val="0"/>
        <w:ind w:firstLine="640"/>
        <w:jc w:val="right"/>
        <w:rPr>
          <w:szCs w:val="32"/>
        </w:rPr>
      </w:pPr>
    </w:p>
    <w:p>
      <w:pPr>
        <w:widowControl w:val="0"/>
        <w:ind w:firstLine="640"/>
        <w:jc w:val="right"/>
        <w:rPr>
          <w:szCs w:val="32"/>
        </w:rPr>
      </w:pPr>
    </w:p>
    <w:p>
      <w:pPr>
        <w:widowControl w:val="0"/>
        <w:ind w:firstLine="640"/>
        <w:jc w:val="right"/>
        <w:rPr>
          <w:szCs w:val="32"/>
        </w:rPr>
      </w:pPr>
    </w:p>
    <w:p>
      <w:pPr>
        <w:pStyle w:val="3"/>
        <w:ind w:left="0" w:leftChars="0" w:firstLine="0" w:firstLineChars="0"/>
        <w:rPr>
          <w:szCs w:val="32"/>
        </w:rPr>
      </w:pPr>
    </w:p>
    <w:p>
      <w:pPr>
        <w:pStyle w:val="4"/>
        <w:ind w:firstLine="643"/>
      </w:pPr>
    </w:p>
    <w:p>
      <w:pPr>
        <w:ind w:firstLine="640"/>
        <w:rPr>
          <w:szCs w:val="32"/>
        </w:rPr>
      </w:pPr>
    </w:p>
    <w:sectPr>
      <w:headerReference r:id="rId5" w:type="default"/>
      <w:footerReference r:id="rId6" w:type="default"/>
      <w:pgSz w:w="11906" w:h="16838"/>
      <w:pgMar w:top="2098" w:right="1474" w:bottom="1985"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F00FE2-8D07-4750-BB1B-A6FA61A875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5473DB6-92B9-42D1-B77B-583BEABC4435}"/>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79796952-EC87-4497-81C9-8F719557CC23}"/>
  </w:font>
  <w:font w:name="仿宋">
    <w:panose1 w:val="02010609060101010101"/>
    <w:charset w:val="86"/>
    <w:family w:val="auto"/>
    <w:pitch w:val="default"/>
    <w:sig w:usb0="800002BF" w:usb1="38CF7CFA" w:usb2="00000016" w:usb3="00000000" w:csb0="00040001" w:csb1="00000000"/>
    <w:embedRegular r:id="rId4" w:fontKey="{BDC01F0F-B4A6-4234-A7C6-0BDC488A6015}"/>
  </w:font>
  <w:font w:name="方正小标宋简体">
    <w:panose1 w:val="02000000000000000000"/>
    <w:charset w:val="86"/>
    <w:family w:val="script"/>
    <w:pitch w:val="default"/>
    <w:sig w:usb0="00000001" w:usb1="080E0000" w:usb2="00000000" w:usb3="00000000" w:csb0="00040000" w:csb1="00000000"/>
    <w:embedRegular r:id="rId5" w:fontKey="{36E5BD9A-2D83-4CED-B571-35A882737F7E}"/>
  </w:font>
  <w:font w:name="方正仿宋_GB2312">
    <w:panose1 w:val="02000000000000000000"/>
    <w:charset w:val="86"/>
    <w:family w:val="auto"/>
    <w:pitch w:val="default"/>
    <w:sig w:usb0="A00002BF" w:usb1="184F6CFA" w:usb2="00000012" w:usb3="00000000" w:csb0="00040001" w:csb1="00000000"/>
  </w:font>
  <w:font w:name="汉仪秦川飞影W">
    <w:panose1 w:val="00020600040101010101"/>
    <w:charset w:val="86"/>
    <w:family w:val="auto"/>
    <w:pitch w:val="default"/>
    <w:sig w:usb0="800000BF" w:usb1="2AC7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FA2DE"/>
    <w:multiLevelType w:val="singleLevel"/>
    <w:tmpl w:val="D99FA2DE"/>
    <w:lvl w:ilvl="0" w:tentative="0">
      <w:start w:val="1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zMWUzYWU0YjRlNzM4YWU0ZGU4MWY0NjRhNzE2OTgifQ=="/>
  </w:docVars>
  <w:rsids>
    <w:rsidRoot w:val="00D46DC7"/>
    <w:rsid w:val="00004421"/>
    <w:rsid w:val="00024620"/>
    <w:rsid w:val="000F4D4A"/>
    <w:rsid w:val="001C76B7"/>
    <w:rsid w:val="00211FEB"/>
    <w:rsid w:val="002A0CFD"/>
    <w:rsid w:val="002C32D0"/>
    <w:rsid w:val="002C7A9A"/>
    <w:rsid w:val="0030277C"/>
    <w:rsid w:val="003D3944"/>
    <w:rsid w:val="0046530A"/>
    <w:rsid w:val="00576EAB"/>
    <w:rsid w:val="005A49D3"/>
    <w:rsid w:val="006829AD"/>
    <w:rsid w:val="006F7A27"/>
    <w:rsid w:val="00754BE7"/>
    <w:rsid w:val="00781836"/>
    <w:rsid w:val="00853190"/>
    <w:rsid w:val="00882EE5"/>
    <w:rsid w:val="00925E22"/>
    <w:rsid w:val="009F0A1A"/>
    <w:rsid w:val="00A47014"/>
    <w:rsid w:val="00A85657"/>
    <w:rsid w:val="00A9203E"/>
    <w:rsid w:val="00AF2302"/>
    <w:rsid w:val="00BF6123"/>
    <w:rsid w:val="00C37396"/>
    <w:rsid w:val="00D46DC7"/>
    <w:rsid w:val="00D80534"/>
    <w:rsid w:val="00D80618"/>
    <w:rsid w:val="00DE145F"/>
    <w:rsid w:val="00DF15A9"/>
    <w:rsid w:val="00DF2373"/>
    <w:rsid w:val="00E31D3E"/>
    <w:rsid w:val="00E87BE1"/>
    <w:rsid w:val="00EF163C"/>
    <w:rsid w:val="00F36D18"/>
    <w:rsid w:val="00FF4131"/>
    <w:rsid w:val="017B79C7"/>
    <w:rsid w:val="01C27034"/>
    <w:rsid w:val="03F22F05"/>
    <w:rsid w:val="076E7639"/>
    <w:rsid w:val="0799502C"/>
    <w:rsid w:val="08686262"/>
    <w:rsid w:val="0C8B7345"/>
    <w:rsid w:val="0CBD2905"/>
    <w:rsid w:val="0DFD6EEC"/>
    <w:rsid w:val="0EB13CB5"/>
    <w:rsid w:val="0F23133D"/>
    <w:rsid w:val="0F5C6161"/>
    <w:rsid w:val="0FC46125"/>
    <w:rsid w:val="0FFD3A47"/>
    <w:rsid w:val="12162E45"/>
    <w:rsid w:val="14444A5C"/>
    <w:rsid w:val="153B036A"/>
    <w:rsid w:val="173378CA"/>
    <w:rsid w:val="179444AC"/>
    <w:rsid w:val="1A0E60DA"/>
    <w:rsid w:val="1D505482"/>
    <w:rsid w:val="1D7621ED"/>
    <w:rsid w:val="1E196EF6"/>
    <w:rsid w:val="1E80438F"/>
    <w:rsid w:val="201D34FD"/>
    <w:rsid w:val="244512F4"/>
    <w:rsid w:val="25502C66"/>
    <w:rsid w:val="259416DE"/>
    <w:rsid w:val="26041CD8"/>
    <w:rsid w:val="262302F3"/>
    <w:rsid w:val="27314692"/>
    <w:rsid w:val="28CC266A"/>
    <w:rsid w:val="2B75129E"/>
    <w:rsid w:val="2BA9085B"/>
    <w:rsid w:val="2BD001FB"/>
    <w:rsid w:val="2C2F06E6"/>
    <w:rsid w:val="2C3C6903"/>
    <w:rsid w:val="2C9271B2"/>
    <w:rsid w:val="2CD31F23"/>
    <w:rsid w:val="2DF141EC"/>
    <w:rsid w:val="2DF24D5B"/>
    <w:rsid w:val="2E306C4C"/>
    <w:rsid w:val="30627B8C"/>
    <w:rsid w:val="30AE14AE"/>
    <w:rsid w:val="31896A9E"/>
    <w:rsid w:val="31F62F8B"/>
    <w:rsid w:val="339B7645"/>
    <w:rsid w:val="35C02E45"/>
    <w:rsid w:val="35D20B69"/>
    <w:rsid w:val="36B703F0"/>
    <w:rsid w:val="36C85FF4"/>
    <w:rsid w:val="37B8528A"/>
    <w:rsid w:val="39B37466"/>
    <w:rsid w:val="39B62999"/>
    <w:rsid w:val="3B7E5A4B"/>
    <w:rsid w:val="3BA374B1"/>
    <w:rsid w:val="3BBC663D"/>
    <w:rsid w:val="3E8070A7"/>
    <w:rsid w:val="409125E3"/>
    <w:rsid w:val="41386401"/>
    <w:rsid w:val="436A7298"/>
    <w:rsid w:val="444A7117"/>
    <w:rsid w:val="44A615DF"/>
    <w:rsid w:val="4522707A"/>
    <w:rsid w:val="45703DB1"/>
    <w:rsid w:val="461F2277"/>
    <w:rsid w:val="465A2E33"/>
    <w:rsid w:val="466C0214"/>
    <w:rsid w:val="46D02B7B"/>
    <w:rsid w:val="472847E0"/>
    <w:rsid w:val="473F0E6D"/>
    <w:rsid w:val="4BF7698E"/>
    <w:rsid w:val="4C740E1A"/>
    <w:rsid w:val="4D8043F6"/>
    <w:rsid w:val="4F5702F3"/>
    <w:rsid w:val="50015F64"/>
    <w:rsid w:val="500D3C7A"/>
    <w:rsid w:val="503B0022"/>
    <w:rsid w:val="504F44F0"/>
    <w:rsid w:val="52722D9D"/>
    <w:rsid w:val="527D1EB4"/>
    <w:rsid w:val="5431194B"/>
    <w:rsid w:val="55BD625F"/>
    <w:rsid w:val="56116770"/>
    <w:rsid w:val="56F3314F"/>
    <w:rsid w:val="576B35F1"/>
    <w:rsid w:val="5AAA4BB3"/>
    <w:rsid w:val="5B9917E4"/>
    <w:rsid w:val="5C1719B4"/>
    <w:rsid w:val="5D862165"/>
    <w:rsid w:val="5E0B4687"/>
    <w:rsid w:val="5E3A2F57"/>
    <w:rsid w:val="5F835249"/>
    <w:rsid w:val="61372550"/>
    <w:rsid w:val="614A3631"/>
    <w:rsid w:val="61AF5A56"/>
    <w:rsid w:val="65161FEF"/>
    <w:rsid w:val="65396406"/>
    <w:rsid w:val="65F46F35"/>
    <w:rsid w:val="675024F8"/>
    <w:rsid w:val="68E413ED"/>
    <w:rsid w:val="68EF328E"/>
    <w:rsid w:val="6927478D"/>
    <w:rsid w:val="69FF5CB8"/>
    <w:rsid w:val="6E3556F3"/>
    <w:rsid w:val="6F0E3AAF"/>
    <w:rsid w:val="6F145F47"/>
    <w:rsid w:val="71801165"/>
    <w:rsid w:val="722421D3"/>
    <w:rsid w:val="73262315"/>
    <w:rsid w:val="73BB5922"/>
    <w:rsid w:val="73F61986"/>
    <w:rsid w:val="74F4456D"/>
    <w:rsid w:val="75BE7E93"/>
    <w:rsid w:val="7614737D"/>
    <w:rsid w:val="77912987"/>
    <w:rsid w:val="78345BAB"/>
    <w:rsid w:val="792A485C"/>
    <w:rsid w:val="79E27CC6"/>
    <w:rsid w:val="7A00285C"/>
    <w:rsid w:val="7C7F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76"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4"/>
    <w:qFormat/>
    <w:uiPriority w:val="0"/>
    <w:pPr>
      <w:keepNext/>
      <w:keepLines/>
      <w:spacing w:line="576" w:lineRule="auto"/>
      <w:outlineLvl w:val="0"/>
    </w:pPr>
    <w:rPr>
      <w:b/>
      <w:kern w:val="44"/>
      <w:sz w:val="44"/>
    </w:rPr>
  </w:style>
  <w:style w:type="paragraph" w:styleId="4">
    <w:name w:val="heading 2"/>
    <w:basedOn w:val="1"/>
    <w:next w:val="1"/>
    <w:semiHidden/>
    <w:unhideWhenUsed/>
    <w:qFormat/>
    <w:uiPriority w:val="9"/>
    <w:pPr>
      <w:keepNext/>
      <w:keepLines/>
      <w:spacing w:line="600" w:lineRule="exact"/>
      <w:jc w:val="left"/>
      <w:outlineLvl w:val="1"/>
    </w:pPr>
    <w:rPr>
      <w:rFonts w:eastAsia="楷体" w:asciiTheme="majorHAnsi" w:hAnsiTheme="majorHAnsi" w:cstheme="majorBidi"/>
      <w:b/>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Balloon Text"/>
    <w:basedOn w:val="1"/>
    <w:link w:val="10"/>
    <w:semiHidden/>
    <w:unhideWhenUsed/>
    <w:qFormat/>
    <w:uiPriority w:val="99"/>
    <w:pPr>
      <w:spacing w:line="240" w:lineRule="auto"/>
    </w:pPr>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0">
    <w:name w:val="批注框文本 字符"/>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2808</Words>
  <Characters>2820</Characters>
  <Lines>20</Lines>
  <Paragraphs>5</Paragraphs>
  <TotalTime>5</TotalTime>
  <ScaleCrop>false</ScaleCrop>
  <LinksUpToDate>false</LinksUpToDate>
  <CharactersWithSpaces>2881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2016-06-29T08:41:00Z</dcterms:created>
  <dc:creator>孙建中</dc:creator>
  <cp:lastModifiedBy>裕</cp:lastModifiedBy>
  <cp:lastPrinted>2022-08-22T04:00:00Z</cp:lastPrinted>
  <dcterms:modified xsi:type="dcterms:W3CDTF">2022-12-07T02:30:21Z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2B2016A0548945B1929E1E4C7D9298BD</vt:lpwstr>
  </property>
</Properties>
</file>