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关于印发《龙亭区饲料兽药农药生产企业质量安全信用分级管理办法(试行)》的通知</w:t>
      </w:r>
    </w:p>
    <w:p>
      <w:pPr>
        <w:keepNext w:val="0"/>
        <w:keepLines w:val="0"/>
        <w:pageBreakBefore w:val="0"/>
        <w:widowControl/>
        <w:kinsoku w:val="0"/>
        <w:wordWrap/>
        <w:overflowPunct/>
        <w:topLinePunct w:val="0"/>
        <w:autoSpaceDE w:val="0"/>
        <w:autoSpaceDN w:val="0"/>
        <w:bidi w:val="0"/>
        <w:adjustRightInd w:val="0"/>
        <w:snapToGrid w:val="0"/>
        <w:spacing w:line="700" w:lineRule="exact"/>
        <w:textAlignment w:val="baseline"/>
        <w:rPr>
          <w:rFonts w:hint="default" w:ascii="仿宋_GB2312" w:hAnsi="仿宋_GB2312" w:eastAsia="仿宋_GB2312" w:cs="仿宋_GB2312"/>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textAlignment w:val="baseline"/>
        <w:rPr>
          <w:rFonts w:hint="eastAsia" w:ascii="仿宋" w:hAnsi="仿宋" w:eastAsia="仿宋" w:cs="仿宋"/>
          <w:spacing w:val="10"/>
          <w:sz w:val="32"/>
          <w:szCs w:val="32"/>
        </w:rPr>
      </w:pPr>
      <w:r>
        <w:rPr>
          <w:rFonts w:hint="eastAsia" w:ascii="仿宋" w:hAnsi="仿宋" w:eastAsia="仿宋" w:cs="仿宋"/>
          <w:spacing w:val="10"/>
          <w:sz w:val="32"/>
          <w:szCs w:val="32"/>
        </w:rPr>
        <w:t>各乡</w:t>
      </w:r>
      <w:r>
        <w:rPr>
          <w:rFonts w:hint="eastAsia" w:ascii="仿宋" w:hAnsi="仿宋" w:eastAsia="仿宋" w:cs="仿宋"/>
          <w:spacing w:val="10"/>
          <w:sz w:val="32"/>
          <w:szCs w:val="32"/>
          <w:lang w:eastAsia="zh-CN"/>
        </w:rPr>
        <w:t>农业中心，</w:t>
      </w:r>
      <w:r>
        <w:rPr>
          <w:rFonts w:hint="eastAsia" w:ascii="仿宋" w:hAnsi="仿宋" w:eastAsia="仿宋" w:cs="仿宋"/>
          <w:spacing w:val="10"/>
          <w:sz w:val="32"/>
          <w:szCs w:val="32"/>
        </w:rPr>
        <w:t>局属各</w:t>
      </w:r>
      <w:r>
        <w:rPr>
          <w:rFonts w:hint="eastAsia" w:ascii="仿宋" w:hAnsi="仿宋" w:eastAsia="仿宋" w:cs="仿宋"/>
          <w:spacing w:val="10"/>
          <w:sz w:val="32"/>
          <w:szCs w:val="32"/>
          <w:lang w:eastAsia="zh-CN"/>
        </w:rPr>
        <w:t>科室</w:t>
      </w:r>
      <w:r>
        <w:rPr>
          <w:rFonts w:hint="eastAsia" w:ascii="仿宋" w:hAnsi="仿宋" w:eastAsia="仿宋" w:cs="仿宋"/>
          <w:spacing w:val="1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79"/>
        <w:textAlignment w:val="baseline"/>
        <w:rPr>
          <w:rFonts w:hint="eastAsia" w:ascii="仿宋" w:hAnsi="仿宋" w:eastAsia="仿宋" w:cs="仿宋"/>
          <w:spacing w:val="10"/>
          <w:sz w:val="32"/>
          <w:szCs w:val="32"/>
        </w:rPr>
      </w:pPr>
      <w:r>
        <w:rPr>
          <w:rFonts w:hint="eastAsia" w:ascii="仿宋" w:hAnsi="仿宋" w:eastAsia="仿宋" w:cs="仿宋"/>
          <w:spacing w:val="10"/>
          <w:sz w:val="32"/>
          <w:szCs w:val="32"/>
          <w:lang w:eastAsia="zh-CN"/>
        </w:rPr>
        <w:t>根据《开封市饲料兽药农药生产企业质量安全信用分级管理办法(试行)》文件精神，结合我区实际，经研究制定《龙亭区饲料兽药农药生产企业质量安全信用分级管理办法(试行)》，现将印发给你们，请遵照执行。</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79"/>
        <w:textAlignment w:val="baseline"/>
        <w:rPr>
          <w:rFonts w:hint="eastAsia" w:ascii="仿宋" w:hAnsi="仿宋" w:eastAsia="仿宋" w:cs="仿宋"/>
          <w:spacing w:val="10"/>
          <w:sz w:val="32"/>
          <w:szCs w:val="32"/>
          <w:lang w:eastAsia="zh-CN"/>
        </w:rPr>
      </w:pPr>
      <w:r>
        <w:rPr>
          <w:rFonts w:hint="eastAsia" w:ascii="仿宋" w:hAnsi="仿宋" w:eastAsia="仿宋" w:cs="仿宋"/>
          <w:spacing w:val="10"/>
          <w:sz w:val="32"/>
          <w:szCs w:val="32"/>
          <w:lang w:eastAsia="zh-CN"/>
        </w:rPr>
        <w:t>附件：龙亭区饲料兽药农药生产企业质量安全信用分级管理办法(试行)</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79"/>
        <w:textAlignment w:val="baseline"/>
        <w:rPr>
          <w:rFonts w:hint="eastAsia" w:ascii="仿宋" w:hAnsi="仿宋" w:eastAsia="仿宋" w:cs="仿宋"/>
          <w:spacing w:val="10"/>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79"/>
        <w:jc w:val="right"/>
        <w:textAlignment w:val="baseline"/>
        <w:rPr>
          <w:rFonts w:hint="eastAsia" w:ascii="仿宋" w:hAnsi="仿宋" w:eastAsia="仿宋" w:cs="仿宋"/>
          <w:spacing w:val="10"/>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79"/>
        <w:jc w:val="right"/>
        <w:textAlignment w:val="baseline"/>
        <w:rPr>
          <w:rFonts w:hint="eastAsia" w:ascii="仿宋" w:hAnsi="仿宋" w:eastAsia="仿宋" w:cs="仿宋"/>
          <w:spacing w:val="10"/>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79"/>
        <w:jc w:val="right"/>
        <w:textAlignment w:val="baseline"/>
        <w:rPr>
          <w:rFonts w:hint="eastAsia" w:ascii="仿宋" w:hAnsi="仿宋" w:eastAsia="仿宋" w:cs="仿宋"/>
          <w:spacing w:val="10"/>
          <w:sz w:val="32"/>
          <w:szCs w:val="32"/>
          <w:lang w:eastAsia="zh-CN"/>
        </w:rPr>
      </w:pPr>
      <w:r>
        <w:rPr>
          <w:rFonts w:hint="eastAsia" w:ascii="仿宋" w:hAnsi="仿宋" w:eastAsia="仿宋" w:cs="仿宋"/>
          <w:spacing w:val="10"/>
          <w:sz w:val="32"/>
          <w:szCs w:val="32"/>
          <w:lang w:eastAsia="zh-CN"/>
        </w:rPr>
        <w:t>开封市龙亭区农业农村局</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79"/>
        <w:textAlignment w:val="baseline"/>
        <w:rPr>
          <w:rFonts w:hint="eastAsia" w:ascii="宋体" w:hAnsi="宋体" w:eastAsia="宋体" w:cs="宋体"/>
          <w:spacing w:val="10"/>
          <w:sz w:val="31"/>
          <w:szCs w:val="31"/>
          <w:lang w:eastAsia="zh-CN"/>
        </w:rPr>
      </w:pPr>
      <w:r>
        <w:rPr>
          <w:rFonts w:hint="eastAsia" w:ascii="仿宋" w:hAnsi="仿宋" w:eastAsia="仿宋" w:cs="仿宋"/>
          <w:spacing w:val="10"/>
          <w:sz w:val="32"/>
          <w:szCs w:val="32"/>
          <w:lang w:val="en-US" w:eastAsia="zh-CN"/>
        </w:rPr>
        <w:t xml:space="preserve">                                     </w:t>
      </w:r>
      <w:r>
        <w:rPr>
          <w:rFonts w:hint="eastAsia" w:ascii="仿宋" w:hAnsi="仿宋" w:eastAsia="仿宋" w:cs="仿宋"/>
          <w:spacing w:val="10"/>
          <w:sz w:val="32"/>
          <w:szCs w:val="32"/>
          <w:lang w:eastAsia="zh-CN"/>
        </w:rPr>
        <w:t>2020年</w:t>
      </w:r>
      <w:bookmarkStart w:id="0" w:name="_GoBack"/>
      <w:bookmarkEnd w:id="0"/>
      <w:r>
        <w:rPr>
          <w:rFonts w:hint="eastAsia" w:ascii="仿宋" w:hAnsi="仿宋" w:eastAsia="仿宋" w:cs="仿宋"/>
          <w:spacing w:val="10"/>
          <w:sz w:val="32"/>
          <w:szCs w:val="32"/>
          <w:lang w:eastAsia="zh-CN"/>
        </w:rPr>
        <w:t>4月</w:t>
      </w:r>
      <w:r>
        <w:rPr>
          <w:rFonts w:hint="eastAsia" w:ascii="仿宋" w:hAnsi="仿宋" w:eastAsia="仿宋" w:cs="仿宋"/>
          <w:spacing w:val="10"/>
          <w:sz w:val="32"/>
          <w:szCs w:val="32"/>
          <w:lang w:val="en-US" w:eastAsia="zh-CN"/>
        </w:rPr>
        <w:t>15</w:t>
      </w:r>
      <w:r>
        <w:rPr>
          <w:rFonts w:hint="eastAsia" w:ascii="宋体" w:hAnsi="宋体" w:eastAsia="宋体" w:cs="宋体"/>
          <w:spacing w:val="10"/>
          <w:sz w:val="31"/>
          <w:szCs w:val="31"/>
          <w:lang w:eastAsia="zh-CN"/>
        </w:rPr>
        <w:t>日</w:t>
      </w:r>
    </w:p>
    <w:p>
      <w:pPr>
        <w:spacing w:before="245" w:line="369" w:lineRule="auto"/>
        <w:ind w:left="344" w:right="95" w:firstLine="679"/>
        <w:rPr>
          <w:rFonts w:hint="eastAsia" w:ascii="宋体" w:hAnsi="宋体" w:eastAsia="宋体" w:cs="宋体"/>
          <w:spacing w:val="10"/>
          <w:sz w:val="31"/>
          <w:szCs w:val="31"/>
          <w:lang w:eastAsia="zh-CN"/>
        </w:rPr>
        <w:sectPr>
          <w:footerReference r:id="rId5" w:type="default"/>
          <w:pgSz w:w="11900" w:h="16820"/>
          <w:pgMar w:top="1429" w:right="760" w:bottom="1390" w:left="1420" w:header="0" w:footer="1329" w:gutter="0"/>
          <w:pgNumType w:fmt="decimal"/>
          <w:cols w:space="720" w:num="1"/>
        </w:sectPr>
      </w:pPr>
    </w:p>
    <w:p>
      <w:pPr>
        <w:spacing w:before="245" w:line="369" w:lineRule="auto"/>
        <w:ind w:right="95"/>
        <w:rPr>
          <w:rFonts w:hint="eastAsia" w:ascii="仿宋" w:hAnsi="仿宋" w:eastAsia="仿宋" w:cs="仿宋"/>
          <w:spacing w:val="10"/>
          <w:sz w:val="32"/>
          <w:szCs w:val="32"/>
          <w:lang w:eastAsia="zh-CN"/>
        </w:rPr>
      </w:pPr>
      <w:r>
        <w:rPr>
          <w:rFonts w:hint="eastAsia" w:ascii="仿宋" w:hAnsi="仿宋" w:eastAsia="仿宋" w:cs="仿宋"/>
          <w:spacing w:val="10"/>
          <w:sz w:val="32"/>
          <w:szCs w:val="32"/>
          <w:lang w:eastAsia="zh-CN"/>
        </w:rPr>
        <w:t>附件：</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jc w:val="center"/>
        <w:textAlignment w:val="baseline"/>
        <w:rPr>
          <w:rFonts w:ascii="Arial"/>
          <w:sz w:val="44"/>
          <w:szCs w:val="44"/>
        </w:rPr>
      </w:pPr>
      <w:r>
        <w:rPr>
          <w:rFonts w:hint="eastAsia" w:ascii="宋体" w:hAnsi="宋体" w:eastAsia="宋体" w:cs="宋体"/>
          <w:b/>
          <w:bCs/>
          <w:spacing w:val="-6"/>
          <w:sz w:val="44"/>
          <w:szCs w:val="44"/>
          <w:lang w:eastAsia="zh-CN"/>
        </w:rPr>
        <w:t>龙亭区</w:t>
      </w:r>
      <w:r>
        <w:rPr>
          <w:rFonts w:ascii="宋体" w:hAnsi="宋体" w:eastAsia="宋体" w:cs="宋体"/>
          <w:b/>
          <w:bCs/>
          <w:spacing w:val="-6"/>
          <w:sz w:val="44"/>
          <w:szCs w:val="44"/>
        </w:rPr>
        <w:t>饲料兽药农药生产企业</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jc w:val="center"/>
        <w:textAlignment w:val="baseline"/>
        <w:rPr>
          <w:rFonts w:ascii="宋体" w:hAnsi="宋体" w:eastAsia="宋体" w:cs="宋体"/>
          <w:sz w:val="44"/>
          <w:szCs w:val="44"/>
        </w:rPr>
      </w:pPr>
      <w:r>
        <w:rPr>
          <w:rFonts w:ascii="宋体" w:hAnsi="宋体" w:eastAsia="宋体" w:cs="宋体"/>
          <w:b/>
          <w:bCs/>
          <w:spacing w:val="15"/>
          <w:sz w:val="44"/>
          <w:szCs w:val="44"/>
        </w:rPr>
        <w:t>质量安全信用分级管理办法(试行)</w:t>
      </w:r>
    </w:p>
    <w:p>
      <w:pPr>
        <w:spacing w:line="288" w:lineRule="auto"/>
        <w:rPr>
          <w:rFonts w:ascii="Arial"/>
          <w:sz w:val="21"/>
        </w:rPr>
      </w:pPr>
    </w:p>
    <w:p>
      <w:pPr>
        <w:spacing w:line="289" w:lineRule="auto"/>
        <w:rPr>
          <w:rFonts w:ascii="Arial"/>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jc w:val="center"/>
        <w:textAlignment w:val="baseline"/>
        <w:rPr>
          <w:rFonts w:ascii="黑体" w:hAnsi="黑体" w:eastAsia="黑体" w:cs="黑体"/>
          <w:sz w:val="32"/>
          <w:szCs w:val="32"/>
        </w:rPr>
      </w:pPr>
      <w:r>
        <w:rPr>
          <w:rFonts w:ascii="黑体" w:hAnsi="黑体" w:eastAsia="黑体" w:cs="黑体"/>
          <w:b/>
          <w:bCs/>
          <w:spacing w:val="-16"/>
          <w:sz w:val="32"/>
          <w:szCs w:val="32"/>
        </w:rPr>
        <w:t>第</w:t>
      </w:r>
      <w:r>
        <w:rPr>
          <w:rFonts w:ascii="黑体" w:hAnsi="黑体" w:eastAsia="黑体" w:cs="黑体"/>
          <w:spacing w:val="-6"/>
          <w:sz w:val="32"/>
          <w:szCs w:val="32"/>
        </w:rPr>
        <w:t xml:space="preserve"> </w:t>
      </w:r>
      <w:r>
        <w:rPr>
          <w:rFonts w:ascii="黑体" w:hAnsi="黑体" w:eastAsia="黑体" w:cs="黑体"/>
          <w:b/>
          <w:bCs/>
          <w:spacing w:val="-16"/>
          <w:sz w:val="32"/>
          <w:szCs w:val="32"/>
        </w:rPr>
        <w:t>一</w:t>
      </w:r>
      <w:r>
        <w:rPr>
          <w:rFonts w:ascii="黑体" w:hAnsi="黑体" w:eastAsia="黑体" w:cs="黑体"/>
          <w:spacing w:val="-10"/>
          <w:sz w:val="32"/>
          <w:szCs w:val="32"/>
        </w:rPr>
        <w:t xml:space="preserve"> </w:t>
      </w:r>
      <w:r>
        <w:rPr>
          <w:rFonts w:ascii="黑体" w:hAnsi="黑体" w:eastAsia="黑体" w:cs="黑体"/>
          <w:b/>
          <w:bCs/>
          <w:spacing w:val="-16"/>
          <w:sz w:val="32"/>
          <w:szCs w:val="32"/>
        </w:rPr>
        <w:t>章</w:t>
      </w:r>
      <w:r>
        <w:rPr>
          <w:rFonts w:ascii="黑体" w:hAnsi="黑体" w:eastAsia="黑体" w:cs="黑体"/>
          <w:spacing w:val="-6"/>
          <w:sz w:val="32"/>
          <w:szCs w:val="32"/>
        </w:rPr>
        <w:t xml:space="preserve"> </w:t>
      </w:r>
      <w:r>
        <w:rPr>
          <w:rFonts w:ascii="黑体" w:hAnsi="黑体" w:eastAsia="黑体" w:cs="黑体"/>
          <w:b/>
          <w:bCs/>
          <w:spacing w:val="-16"/>
          <w:sz w:val="32"/>
          <w:szCs w:val="32"/>
        </w:rPr>
        <w:t>总</w:t>
      </w:r>
      <w:r>
        <w:rPr>
          <w:rFonts w:ascii="黑体" w:hAnsi="黑体" w:eastAsia="黑体" w:cs="黑体"/>
          <w:spacing w:val="-13"/>
          <w:sz w:val="32"/>
          <w:szCs w:val="32"/>
        </w:rPr>
        <w:t xml:space="preserve"> </w:t>
      </w:r>
      <w:r>
        <w:rPr>
          <w:rFonts w:ascii="黑体" w:hAnsi="黑体" w:eastAsia="黑体" w:cs="黑体"/>
          <w:b/>
          <w:bCs/>
          <w:spacing w:val="-16"/>
          <w:sz w:val="32"/>
          <w:szCs w:val="32"/>
        </w:rPr>
        <w:t>则</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79"/>
        <w:textAlignment w:val="baseline"/>
        <w:rPr>
          <w:rFonts w:hint="eastAsia" w:ascii="仿宋" w:hAnsi="仿宋" w:eastAsia="仿宋" w:cs="仿宋"/>
          <w:sz w:val="32"/>
          <w:szCs w:val="32"/>
        </w:rPr>
      </w:pPr>
      <w:r>
        <w:rPr>
          <w:rFonts w:hint="eastAsia" w:ascii="仿宋" w:hAnsi="仿宋" w:eastAsia="仿宋" w:cs="仿宋"/>
          <w:b/>
          <w:bCs/>
          <w:spacing w:val="22"/>
          <w:sz w:val="32"/>
          <w:szCs w:val="32"/>
        </w:rPr>
        <w:t>第一条</w:t>
      </w:r>
      <w:r>
        <w:rPr>
          <w:rFonts w:hint="eastAsia" w:ascii="仿宋" w:hAnsi="仿宋" w:eastAsia="仿宋" w:cs="仿宋"/>
          <w:b/>
          <w:bCs/>
          <w:spacing w:val="22"/>
          <w:sz w:val="32"/>
          <w:szCs w:val="32"/>
          <w:lang w:val="en-US" w:eastAsia="zh-CN"/>
        </w:rPr>
        <w:t xml:space="preserve"> </w:t>
      </w:r>
      <w:r>
        <w:rPr>
          <w:rFonts w:hint="eastAsia" w:ascii="仿宋" w:hAnsi="仿宋" w:eastAsia="仿宋" w:cs="仿宋"/>
          <w:spacing w:val="22"/>
          <w:sz w:val="32"/>
          <w:szCs w:val="32"/>
        </w:rPr>
        <w:t>为建立健全饲料、兽药、农药生产企业质量安</w:t>
      </w:r>
      <w:r>
        <w:rPr>
          <w:rFonts w:hint="eastAsia" w:ascii="仿宋" w:hAnsi="仿宋" w:eastAsia="仿宋" w:cs="仿宋"/>
          <w:spacing w:val="11"/>
          <w:sz w:val="32"/>
          <w:szCs w:val="32"/>
        </w:rPr>
        <w:t xml:space="preserve"> </w:t>
      </w:r>
      <w:r>
        <w:rPr>
          <w:rFonts w:hint="eastAsia" w:ascii="仿宋" w:hAnsi="仿宋" w:eastAsia="仿宋" w:cs="仿宋"/>
          <w:spacing w:val="8"/>
          <w:sz w:val="32"/>
          <w:szCs w:val="32"/>
        </w:rPr>
        <w:t>全风险及信用体系，提高监管执法效能，强化生产经营者诚</w:t>
      </w:r>
      <w:r>
        <w:rPr>
          <w:rFonts w:hint="eastAsia" w:ascii="仿宋" w:hAnsi="仿宋" w:eastAsia="仿宋" w:cs="仿宋"/>
          <w:spacing w:val="17"/>
          <w:sz w:val="32"/>
          <w:szCs w:val="32"/>
        </w:rPr>
        <w:t xml:space="preserve"> </w:t>
      </w:r>
      <w:r>
        <w:rPr>
          <w:rFonts w:hint="eastAsia" w:ascii="仿宋" w:hAnsi="仿宋" w:eastAsia="仿宋" w:cs="仿宋"/>
          <w:spacing w:val="10"/>
          <w:sz w:val="32"/>
          <w:szCs w:val="32"/>
        </w:rPr>
        <w:t>信自律意识，褒奖守信、惩戒失信，切实保障饲料、兽药产</w:t>
      </w:r>
      <w:r>
        <w:rPr>
          <w:rFonts w:hint="eastAsia" w:ascii="仿宋" w:hAnsi="仿宋" w:eastAsia="仿宋" w:cs="仿宋"/>
          <w:spacing w:val="8"/>
          <w:sz w:val="32"/>
          <w:szCs w:val="32"/>
        </w:rPr>
        <w:t xml:space="preserve"> </w:t>
      </w:r>
      <w:r>
        <w:rPr>
          <w:rFonts w:hint="eastAsia" w:ascii="仿宋" w:hAnsi="仿宋" w:eastAsia="仿宋" w:cs="仿宋"/>
          <w:spacing w:val="7"/>
          <w:sz w:val="32"/>
          <w:szCs w:val="32"/>
        </w:rPr>
        <w:t>品和食品质量安全，根据《中华人民共和国政府信息公开条</w:t>
      </w:r>
      <w:r>
        <w:rPr>
          <w:rFonts w:hint="eastAsia" w:ascii="仿宋" w:hAnsi="仿宋" w:eastAsia="仿宋" w:cs="仿宋"/>
          <w:spacing w:val="10"/>
          <w:sz w:val="32"/>
          <w:szCs w:val="32"/>
        </w:rPr>
        <w:t xml:space="preserve"> 例》《饲料和饲料添加剂管理条例》《兽药管理条例》《农</w:t>
      </w:r>
      <w:r>
        <w:rPr>
          <w:rFonts w:hint="eastAsia" w:ascii="仿宋" w:hAnsi="仿宋" w:eastAsia="仿宋" w:cs="仿宋"/>
          <w:spacing w:val="7"/>
          <w:sz w:val="32"/>
          <w:szCs w:val="32"/>
        </w:rPr>
        <w:t xml:space="preserve"> </w:t>
      </w:r>
      <w:r>
        <w:rPr>
          <w:rFonts w:hint="eastAsia" w:ascii="仿宋" w:hAnsi="仿宋" w:eastAsia="仿宋" w:cs="仿宋"/>
          <w:spacing w:val="8"/>
          <w:sz w:val="32"/>
          <w:szCs w:val="32"/>
        </w:rPr>
        <w:t>药管理条例》等有关法律、法规，以及国务院《关于加快推</w:t>
      </w:r>
      <w:r>
        <w:rPr>
          <w:rFonts w:hint="eastAsia" w:ascii="仿宋" w:hAnsi="仿宋" w:eastAsia="仿宋" w:cs="仿宋"/>
          <w:spacing w:val="14"/>
          <w:sz w:val="32"/>
          <w:szCs w:val="32"/>
        </w:rPr>
        <w:t xml:space="preserve"> </w:t>
      </w:r>
      <w:r>
        <w:rPr>
          <w:rFonts w:hint="eastAsia" w:ascii="仿宋" w:hAnsi="仿宋" w:eastAsia="仿宋" w:cs="仿宋"/>
          <w:spacing w:val="21"/>
          <w:sz w:val="32"/>
          <w:szCs w:val="32"/>
        </w:rPr>
        <w:t>进社会信用体系建设构建以信用为基础的新型监管机制的</w:t>
      </w:r>
      <w:r>
        <w:rPr>
          <w:rFonts w:hint="eastAsia" w:ascii="仿宋" w:hAnsi="仿宋" w:eastAsia="仿宋" w:cs="仿宋"/>
          <w:spacing w:val="18"/>
          <w:sz w:val="32"/>
          <w:szCs w:val="32"/>
        </w:rPr>
        <w:t xml:space="preserve"> </w:t>
      </w:r>
      <w:r>
        <w:rPr>
          <w:rFonts w:hint="eastAsia" w:ascii="仿宋" w:hAnsi="仿宋" w:eastAsia="仿宋" w:cs="仿宋"/>
          <w:spacing w:val="9"/>
          <w:sz w:val="32"/>
          <w:szCs w:val="32"/>
        </w:rPr>
        <w:t>指导意见》《农业部关于加快推进农产品质量安全信用体系</w:t>
      </w:r>
      <w:r>
        <w:rPr>
          <w:rFonts w:hint="eastAsia" w:ascii="仿宋" w:hAnsi="仿宋" w:eastAsia="仿宋" w:cs="仿宋"/>
          <w:spacing w:val="4"/>
          <w:sz w:val="32"/>
          <w:szCs w:val="32"/>
        </w:rPr>
        <w:t xml:space="preserve"> </w:t>
      </w:r>
      <w:r>
        <w:rPr>
          <w:rFonts w:hint="eastAsia" w:ascii="仿宋" w:hAnsi="仿宋" w:eastAsia="仿宋" w:cs="仿宋"/>
          <w:spacing w:val="8"/>
          <w:sz w:val="32"/>
          <w:szCs w:val="32"/>
        </w:rPr>
        <w:t>建设的指导意见》、开封市营商环境服务中心《关于持续开</w:t>
      </w:r>
      <w:r>
        <w:rPr>
          <w:rFonts w:hint="eastAsia" w:ascii="仿宋" w:hAnsi="仿宋" w:eastAsia="仿宋" w:cs="仿宋"/>
          <w:spacing w:val="6"/>
          <w:sz w:val="32"/>
          <w:szCs w:val="32"/>
        </w:rPr>
        <w:t>展营商环境工作部署的通知》等，制定本办法。</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79"/>
        <w:textAlignment w:val="baseline"/>
        <w:rPr>
          <w:rFonts w:hint="eastAsia" w:ascii="仿宋" w:hAnsi="仿宋" w:eastAsia="仿宋" w:cs="仿宋"/>
          <w:sz w:val="32"/>
          <w:szCs w:val="32"/>
        </w:rPr>
      </w:pPr>
      <w:r>
        <w:rPr>
          <w:rFonts w:hint="eastAsia" w:ascii="仿宋" w:hAnsi="仿宋" w:eastAsia="仿宋" w:cs="仿宋"/>
          <w:b/>
          <w:bCs/>
          <w:spacing w:val="22"/>
          <w:sz w:val="32"/>
          <w:szCs w:val="32"/>
        </w:rPr>
        <w:t>第二条</w:t>
      </w:r>
      <w:r>
        <w:rPr>
          <w:rFonts w:hint="eastAsia" w:ascii="仿宋" w:hAnsi="仿宋" w:eastAsia="仿宋" w:cs="仿宋"/>
          <w:b/>
          <w:bCs/>
          <w:spacing w:val="22"/>
          <w:sz w:val="32"/>
          <w:szCs w:val="32"/>
          <w:lang w:val="en-US" w:eastAsia="zh-CN"/>
        </w:rPr>
        <w:t xml:space="preserve"> </w:t>
      </w:r>
      <w:r>
        <w:rPr>
          <w:rFonts w:hint="eastAsia" w:ascii="仿宋" w:hAnsi="仿宋" w:eastAsia="仿宋" w:cs="仿宋"/>
          <w:spacing w:val="22"/>
          <w:sz w:val="32"/>
          <w:szCs w:val="32"/>
        </w:rPr>
        <w:t>本办法所称饲料兽药农药生产经营者，是指在</w:t>
      </w:r>
      <w:r>
        <w:rPr>
          <w:rFonts w:hint="eastAsia" w:ascii="仿宋" w:hAnsi="仿宋" w:eastAsia="仿宋" w:cs="仿宋"/>
          <w:spacing w:val="10"/>
          <w:sz w:val="32"/>
          <w:szCs w:val="32"/>
        </w:rPr>
        <w:t xml:space="preserve"> </w:t>
      </w:r>
      <w:r>
        <w:rPr>
          <w:rFonts w:hint="eastAsia" w:ascii="仿宋" w:hAnsi="仿宋" w:eastAsia="仿宋" w:cs="仿宋"/>
          <w:spacing w:val="4"/>
          <w:sz w:val="32"/>
          <w:szCs w:val="32"/>
          <w:lang w:eastAsia="zh-CN"/>
        </w:rPr>
        <w:t>辖区</w:t>
      </w:r>
      <w:r>
        <w:rPr>
          <w:rFonts w:hint="eastAsia" w:ascii="仿宋" w:hAnsi="仿宋" w:eastAsia="仿宋" w:cs="仿宋"/>
          <w:spacing w:val="4"/>
          <w:sz w:val="32"/>
          <w:szCs w:val="32"/>
        </w:rPr>
        <w:t>内取得《饲料(添加剂)生产许可证》《兽药生产许可证》</w:t>
      </w:r>
      <w:r>
        <w:rPr>
          <w:rFonts w:hint="eastAsia" w:ascii="仿宋" w:hAnsi="仿宋" w:eastAsia="仿宋" w:cs="仿宋"/>
          <w:spacing w:val="4"/>
          <w:sz w:val="32"/>
          <w:szCs w:val="32"/>
          <w:lang w:eastAsia="zh-CN"/>
        </w:rPr>
        <w:t>《农药生产许可证》</w:t>
      </w:r>
      <w:r>
        <w:rPr>
          <w:rFonts w:hint="eastAsia" w:ascii="仿宋" w:hAnsi="仿宋" w:eastAsia="仿宋" w:cs="仿宋"/>
          <w:spacing w:val="4"/>
          <w:sz w:val="32"/>
          <w:szCs w:val="32"/>
        </w:rPr>
        <w:t>,</w:t>
      </w:r>
      <w:r>
        <w:rPr>
          <w:rFonts w:hint="eastAsia" w:ascii="仿宋" w:hAnsi="仿宋" w:eastAsia="仿宋" w:cs="仿宋"/>
          <w:spacing w:val="8"/>
          <w:sz w:val="32"/>
          <w:szCs w:val="32"/>
        </w:rPr>
        <w:t xml:space="preserve"> </w:t>
      </w:r>
      <w:r>
        <w:rPr>
          <w:rFonts w:hint="eastAsia" w:ascii="仿宋" w:hAnsi="仿宋" w:eastAsia="仿宋" w:cs="仿宋"/>
          <w:spacing w:val="14"/>
          <w:sz w:val="32"/>
          <w:szCs w:val="32"/>
        </w:rPr>
        <w:t>从事饲料(含饲料原料、饲料添加剂、添加剂预</w:t>
      </w:r>
      <w:r>
        <w:rPr>
          <w:rFonts w:hint="eastAsia" w:ascii="仿宋" w:hAnsi="仿宋" w:eastAsia="仿宋" w:cs="仿宋"/>
          <w:spacing w:val="13"/>
          <w:sz w:val="32"/>
          <w:szCs w:val="32"/>
        </w:rPr>
        <w:t>混合饲料、混合型饲料添加剂)产品</w:t>
      </w:r>
      <w:r>
        <w:rPr>
          <w:rFonts w:hint="eastAsia" w:ascii="仿宋" w:hAnsi="仿宋" w:eastAsia="仿宋" w:cs="仿宋"/>
          <w:spacing w:val="13"/>
          <w:sz w:val="32"/>
          <w:szCs w:val="32"/>
          <w:lang w:eastAsia="zh-CN"/>
        </w:rPr>
        <w:t>、</w:t>
      </w:r>
      <w:r>
        <w:rPr>
          <w:rFonts w:hint="eastAsia" w:ascii="仿宋" w:hAnsi="仿宋" w:eastAsia="仿宋" w:cs="仿宋"/>
          <w:spacing w:val="13"/>
          <w:sz w:val="32"/>
          <w:szCs w:val="32"/>
        </w:rPr>
        <w:t>兽药(含兽用原料药、兽药制剂、</w:t>
      </w:r>
      <w:r>
        <w:rPr>
          <w:rFonts w:hint="eastAsia" w:ascii="仿宋" w:hAnsi="仿宋" w:eastAsia="仿宋" w:cs="仿宋"/>
          <w:spacing w:val="14"/>
          <w:sz w:val="32"/>
          <w:szCs w:val="32"/>
        </w:rPr>
        <w:t>兽用生物制品、兽用生化制剂、兽医诊断试剂等)产品</w:t>
      </w:r>
      <w:r>
        <w:rPr>
          <w:rFonts w:hint="eastAsia" w:ascii="仿宋" w:hAnsi="仿宋" w:eastAsia="仿宋" w:cs="仿宋"/>
          <w:spacing w:val="14"/>
          <w:sz w:val="32"/>
          <w:szCs w:val="32"/>
          <w:lang w:eastAsia="zh-CN"/>
        </w:rPr>
        <w:t>、农药产品</w:t>
      </w:r>
      <w:r>
        <w:rPr>
          <w:rFonts w:hint="eastAsia" w:ascii="仿宋" w:hAnsi="仿宋" w:eastAsia="仿宋" w:cs="仿宋"/>
          <w:spacing w:val="14"/>
          <w:sz w:val="32"/>
          <w:szCs w:val="32"/>
        </w:rPr>
        <w:t>的生</w:t>
      </w:r>
      <w:r>
        <w:rPr>
          <w:rFonts w:hint="eastAsia" w:ascii="仿宋" w:hAnsi="仿宋" w:eastAsia="仿宋" w:cs="仿宋"/>
          <w:spacing w:val="6"/>
          <w:sz w:val="32"/>
          <w:szCs w:val="32"/>
        </w:rPr>
        <w:t>产经营活动的公民、法人或者其他社会经济组织。</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textAlignment w:val="baseline"/>
        <w:rPr>
          <w:rFonts w:hint="eastAsia" w:ascii="仿宋" w:hAnsi="仿宋" w:eastAsia="仿宋" w:cs="仿宋"/>
          <w:sz w:val="32"/>
          <w:szCs w:val="32"/>
        </w:rPr>
        <w:sectPr>
          <w:footerReference r:id="rId6" w:type="default"/>
          <w:pgSz w:w="11900" w:h="16820"/>
          <w:pgMar w:top="1429" w:right="1344" w:bottom="400" w:left="1785" w:header="0" w:footer="0"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79"/>
        <w:textAlignment w:val="baseline"/>
        <w:rPr>
          <w:rFonts w:hint="eastAsia" w:ascii="仿宋" w:hAnsi="仿宋" w:eastAsia="仿宋" w:cs="仿宋"/>
          <w:spacing w:val="4"/>
          <w:sz w:val="32"/>
          <w:szCs w:val="32"/>
          <w:lang w:eastAsia="zh-CN"/>
        </w:rPr>
      </w:pPr>
      <w:r>
        <w:rPr>
          <w:rFonts w:hint="eastAsia" w:ascii="仿宋" w:hAnsi="仿宋" w:eastAsia="仿宋" w:cs="仿宋"/>
          <w:b/>
          <w:bCs/>
          <w:spacing w:val="22"/>
          <w:sz w:val="32"/>
          <w:szCs w:val="32"/>
        </w:rPr>
        <w:t>第三条</w:t>
      </w:r>
      <w:r>
        <w:rPr>
          <w:rFonts w:hint="eastAsia" w:ascii="仿宋" w:hAnsi="仿宋" w:eastAsia="仿宋" w:cs="仿宋"/>
          <w:b/>
          <w:bCs/>
          <w:spacing w:val="22"/>
          <w:sz w:val="32"/>
          <w:szCs w:val="32"/>
          <w:lang w:val="en-US" w:eastAsia="zh-CN"/>
        </w:rPr>
        <w:t xml:space="preserve"> </w:t>
      </w:r>
      <w:r>
        <w:rPr>
          <w:rFonts w:hint="eastAsia" w:ascii="仿宋" w:hAnsi="仿宋" w:eastAsia="仿宋" w:cs="仿宋"/>
          <w:spacing w:val="4"/>
          <w:sz w:val="32"/>
          <w:szCs w:val="32"/>
          <w:lang w:eastAsia="zh-CN"/>
        </w:rPr>
        <w:t>本办法适用于饲料兽药农药生产企业质量、安 全、信用信息的采集发布、风险分析、等级评定、分类监管以及档案管理等。</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79"/>
        <w:textAlignment w:val="baseline"/>
        <w:rPr>
          <w:rFonts w:hint="eastAsia" w:ascii="仿宋" w:hAnsi="仿宋" w:eastAsia="仿宋" w:cs="仿宋"/>
          <w:spacing w:val="4"/>
          <w:sz w:val="32"/>
          <w:szCs w:val="32"/>
          <w:lang w:eastAsia="zh-CN"/>
        </w:rPr>
      </w:pPr>
      <w:r>
        <w:rPr>
          <w:rFonts w:hint="eastAsia" w:ascii="仿宋" w:hAnsi="仿宋" w:eastAsia="仿宋" w:cs="仿宋"/>
          <w:spacing w:val="4"/>
          <w:sz w:val="32"/>
          <w:szCs w:val="32"/>
          <w:lang w:eastAsia="zh-CN"/>
        </w:rPr>
        <w:t>分级管理工作坚持全面覆盖、风险分析、量化评价、动</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textAlignment w:val="baseline"/>
        <w:rPr>
          <w:rFonts w:hint="eastAsia" w:ascii="仿宋" w:hAnsi="仿宋" w:eastAsia="仿宋" w:cs="仿宋"/>
          <w:spacing w:val="4"/>
          <w:sz w:val="32"/>
          <w:szCs w:val="32"/>
          <w:lang w:eastAsia="zh-CN"/>
        </w:rPr>
      </w:pPr>
      <w:r>
        <w:rPr>
          <w:rFonts w:hint="eastAsia" w:ascii="仿宋" w:hAnsi="仿宋" w:eastAsia="仿宋" w:cs="仿宋"/>
          <w:spacing w:val="4"/>
          <w:sz w:val="32"/>
          <w:szCs w:val="32"/>
          <w:lang w:eastAsia="zh-CN"/>
        </w:rPr>
        <w:t>态管理、客观公正、鼓励进步的原则。</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0"/>
        <w:textAlignment w:val="baseline"/>
        <w:rPr>
          <w:rFonts w:hint="eastAsia" w:ascii="仿宋" w:hAnsi="仿宋" w:eastAsia="仿宋" w:cs="仿宋"/>
          <w:sz w:val="32"/>
          <w:szCs w:val="32"/>
        </w:rPr>
      </w:pPr>
      <w:r>
        <w:rPr>
          <w:rFonts w:hint="eastAsia" w:ascii="仿宋" w:hAnsi="仿宋" w:eastAsia="仿宋" w:cs="仿宋"/>
          <w:b/>
          <w:bCs/>
          <w:spacing w:val="22"/>
          <w:sz w:val="32"/>
          <w:szCs w:val="32"/>
        </w:rPr>
        <w:t>第四条</w:t>
      </w:r>
      <w:r>
        <w:rPr>
          <w:rFonts w:hint="eastAsia" w:ascii="仿宋" w:hAnsi="仿宋" w:eastAsia="仿宋" w:cs="仿宋"/>
          <w:b/>
          <w:bCs/>
          <w:spacing w:val="22"/>
          <w:sz w:val="32"/>
          <w:szCs w:val="32"/>
          <w:lang w:val="en-US" w:eastAsia="zh-CN"/>
        </w:rPr>
        <w:t xml:space="preserve"> </w:t>
      </w:r>
      <w:r>
        <w:rPr>
          <w:rFonts w:hint="eastAsia" w:ascii="仿宋" w:hAnsi="仿宋" w:eastAsia="仿宋" w:cs="仿宋"/>
          <w:spacing w:val="22"/>
          <w:sz w:val="32"/>
          <w:szCs w:val="32"/>
          <w:lang w:eastAsia="zh-CN"/>
        </w:rPr>
        <w:t>区</w:t>
      </w:r>
      <w:r>
        <w:rPr>
          <w:rFonts w:hint="eastAsia" w:ascii="仿宋" w:hAnsi="仿宋" w:eastAsia="仿宋" w:cs="仿宋"/>
          <w:spacing w:val="22"/>
          <w:sz w:val="32"/>
          <w:szCs w:val="32"/>
        </w:rPr>
        <w:t>级农业行政管理部门负责制定饲料兽药农药</w:t>
      </w:r>
      <w:r>
        <w:rPr>
          <w:rFonts w:hint="eastAsia" w:ascii="仿宋" w:hAnsi="仿宋" w:eastAsia="仿宋" w:cs="仿宋"/>
          <w:spacing w:val="7"/>
          <w:sz w:val="32"/>
          <w:szCs w:val="32"/>
        </w:rPr>
        <w:t xml:space="preserve"> </w:t>
      </w:r>
      <w:r>
        <w:rPr>
          <w:rFonts w:hint="eastAsia" w:ascii="仿宋" w:hAnsi="仿宋" w:eastAsia="仿宋" w:cs="仿宋"/>
          <w:spacing w:val="9"/>
          <w:sz w:val="32"/>
          <w:szCs w:val="32"/>
        </w:rPr>
        <w:t>质量安全风险及信用等级评定标准、分类监管措施、信用档</w:t>
      </w:r>
      <w:r>
        <w:rPr>
          <w:rFonts w:hint="eastAsia" w:ascii="仿宋" w:hAnsi="仿宋" w:eastAsia="仿宋" w:cs="仿宋"/>
          <w:spacing w:val="8"/>
          <w:sz w:val="32"/>
          <w:szCs w:val="32"/>
        </w:rPr>
        <w:t xml:space="preserve"> </w:t>
      </w:r>
      <w:r>
        <w:rPr>
          <w:rFonts w:hint="eastAsia" w:ascii="仿宋" w:hAnsi="仿宋" w:eastAsia="仿宋" w:cs="仿宋"/>
          <w:spacing w:val="9"/>
          <w:sz w:val="32"/>
          <w:szCs w:val="32"/>
        </w:rPr>
        <w:t>案管理等要求，负责指导全</w:t>
      </w:r>
      <w:r>
        <w:rPr>
          <w:rFonts w:hint="eastAsia" w:ascii="仿宋" w:hAnsi="仿宋" w:eastAsia="仿宋" w:cs="仿宋"/>
          <w:spacing w:val="9"/>
          <w:sz w:val="32"/>
          <w:szCs w:val="32"/>
          <w:lang w:eastAsia="zh-CN"/>
        </w:rPr>
        <w:t>区</w:t>
      </w:r>
      <w:r>
        <w:rPr>
          <w:rFonts w:hint="eastAsia" w:ascii="仿宋" w:hAnsi="仿宋" w:eastAsia="仿宋" w:cs="仿宋"/>
          <w:spacing w:val="9"/>
          <w:sz w:val="32"/>
          <w:szCs w:val="32"/>
        </w:rPr>
        <w:t>饲料兽药农药质量安全信用</w:t>
      </w:r>
      <w:r>
        <w:rPr>
          <w:rFonts w:hint="eastAsia" w:ascii="仿宋" w:hAnsi="仿宋" w:eastAsia="仿宋" w:cs="仿宋"/>
          <w:spacing w:val="8"/>
          <w:sz w:val="32"/>
          <w:szCs w:val="32"/>
        </w:rPr>
        <w:t>分</w:t>
      </w:r>
      <w:r>
        <w:rPr>
          <w:rFonts w:hint="eastAsia" w:ascii="仿宋" w:hAnsi="仿宋" w:eastAsia="仿宋" w:cs="仿宋"/>
          <w:sz w:val="32"/>
          <w:szCs w:val="32"/>
        </w:rPr>
        <w:t xml:space="preserve"> </w:t>
      </w:r>
      <w:r>
        <w:rPr>
          <w:rFonts w:hint="eastAsia" w:ascii="仿宋" w:hAnsi="仿宋" w:eastAsia="仿宋" w:cs="仿宋"/>
          <w:spacing w:val="21"/>
          <w:sz w:val="32"/>
          <w:szCs w:val="32"/>
        </w:rPr>
        <w:t>类管理工作的开展；</w:t>
      </w:r>
      <w:r>
        <w:rPr>
          <w:rFonts w:hint="eastAsia" w:ascii="仿宋" w:hAnsi="仿宋" w:eastAsia="仿宋" w:cs="仿宋"/>
          <w:spacing w:val="21"/>
          <w:sz w:val="32"/>
          <w:szCs w:val="32"/>
          <w:lang w:eastAsia="zh-CN"/>
        </w:rPr>
        <w:t>各乡</w:t>
      </w:r>
      <w:r>
        <w:rPr>
          <w:rFonts w:hint="eastAsia" w:ascii="仿宋" w:hAnsi="仿宋" w:eastAsia="仿宋" w:cs="仿宋"/>
          <w:spacing w:val="21"/>
          <w:sz w:val="32"/>
          <w:szCs w:val="32"/>
        </w:rPr>
        <w:t>农业管理部门负责本辖区内</w:t>
      </w:r>
      <w:r>
        <w:rPr>
          <w:rFonts w:hint="eastAsia" w:ascii="仿宋" w:hAnsi="仿宋" w:eastAsia="仿宋" w:cs="仿宋"/>
          <w:spacing w:val="6"/>
          <w:sz w:val="32"/>
          <w:szCs w:val="32"/>
        </w:rPr>
        <w:t>的饲料、兽药</w:t>
      </w:r>
      <w:r>
        <w:rPr>
          <w:rFonts w:hint="eastAsia" w:ascii="仿宋" w:hAnsi="仿宋" w:eastAsia="仿宋" w:cs="仿宋"/>
          <w:spacing w:val="6"/>
          <w:sz w:val="32"/>
          <w:szCs w:val="32"/>
          <w:lang w:eastAsia="zh-CN"/>
        </w:rPr>
        <w:t>、农药</w:t>
      </w:r>
      <w:r>
        <w:rPr>
          <w:rFonts w:hint="eastAsia" w:ascii="仿宋" w:hAnsi="仿宋" w:eastAsia="仿宋" w:cs="仿宋"/>
          <w:spacing w:val="6"/>
          <w:sz w:val="32"/>
          <w:szCs w:val="32"/>
        </w:rPr>
        <w:t>生产企业的分级管理工作。</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jc w:val="center"/>
        <w:textAlignment w:val="baseline"/>
        <w:rPr>
          <w:rFonts w:ascii="黑体" w:hAnsi="黑体" w:eastAsia="黑体" w:cs="黑体"/>
          <w:b/>
          <w:bCs/>
          <w:spacing w:val="-16"/>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jc w:val="center"/>
        <w:textAlignment w:val="baseline"/>
        <w:rPr>
          <w:rFonts w:ascii="黑体" w:hAnsi="黑体" w:eastAsia="黑体" w:cs="黑体"/>
          <w:sz w:val="32"/>
          <w:szCs w:val="32"/>
        </w:rPr>
      </w:pPr>
      <w:r>
        <w:rPr>
          <w:rFonts w:ascii="黑体" w:hAnsi="黑体" w:eastAsia="黑体" w:cs="黑体"/>
          <w:b/>
          <w:bCs/>
          <w:spacing w:val="-16"/>
          <w:sz w:val="32"/>
          <w:szCs w:val="32"/>
        </w:rPr>
        <w:t>第二章</w:t>
      </w:r>
      <w:r>
        <w:rPr>
          <w:rFonts w:hint="eastAsia" w:ascii="黑体" w:hAnsi="黑体" w:eastAsia="黑体" w:cs="黑体"/>
          <w:b/>
          <w:bCs/>
          <w:spacing w:val="-16"/>
          <w:sz w:val="32"/>
          <w:szCs w:val="32"/>
          <w:lang w:val="en-US" w:eastAsia="zh-CN"/>
        </w:rPr>
        <w:t xml:space="preserve"> </w:t>
      </w:r>
      <w:r>
        <w:rPr>
          <w:rFonts w:ascii="黑体" w:hAnsi="黑体" w:eastAsia="黑体" w:cs="黑体"/>
          <w:b/>
          <w:bCs/>
          <w:spacing w:val="-16"/>
          <w:sz w:val="32"/>
          <w:szCs w:val="32"/>
        </w:rPr>
        <w:t>信息汇集和等级类型</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0"/>
        <w:textAlignment w:val="baseline"/>
        <w:rPr>
          <w:rFonts w:hint="eastAsia" w:ascii="仿宋" w:hAnsi="仿宋" w:eastAsia="仿宋" w:cs="仿宋"/>
          <w:spacing w:val="9"/>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0"/>
        <w:textAlignment w:val="baseline"/>
        <w:rPr>
          <w:rFonts w:hint="eastAsia" w:ascii="仿宋" w:hAnsi="仿宋" w:eastAsia="仿宋" w:cs="仿宋"/>
          <w:spacing w:val="9"/>
          <w:sz w:val="32"/>
          <w:szCs w:val="32"/>
        </w:rPr>
      </w:pPr>
      <w:r>
        <w:rPr>
          <w:rFonts w:hint="eastAsia" w:ascii="仿宋" w:hAnsi="仿宋" w:eastAsia="仿宋" w:cs="仿宋"/>
          <w:b/>
          <w:bCs/>
          <w:spacing w:val="9"/>
          <w:sz w:val="32"/>
          <w:szCs w:val="32"/>
        </w:rPr>
        <w:t>第五条</w:t>
      </w:r>
      <w:r>
        <w:rPr>
          <w:rFonts w:hint="eastAsia" w:ascii="仿宋" w:hAnsi="仿宋" w:eastAsia="仿宋" w:cs="仿宋"/>
          <w:b/>
          <w:bCs/>
          <w:spacing w:val="9"/>
          <w:sz w:val="32"/>
          <w:szCs w:val="32"/>
          <w:lang w:val="en-US" w:eastAsia="zh-CN"/>
        </w:rPr>
        <w:t xml:space="preserve"> </w:t>
      </w:r>
      <w:r>
        <w:rPr>
          <w:rFonts w:hint="eastAsia" w:ascii="仿宋" w:hAnsi="仿宋" w:eastAsia="仿宋" w:cs="仿宋"/>
          <w:spacing w:val="9"/>
          <w:sz w:val="32"/>
          <w:szCs w:val="32"/>
        </w:rPr>
        <w:t>饲料兽药农药质量安全风险和信用信息包</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0"/>
        <w:textAlignment w:val="baseline"/>
        <w:rPr>
          <w:rFonts w:hint="eastAsia" w:ascii="仿宋" w:hAnsi="仿宋" w:eastAsia="仿宋" w:cs="仿宋"/>
          <w:spacing w:val="9"/>
          <w:sz w:val="32"/>
          <w:szCs w:val="32"/>
        </w:rPr>
      </w:pPr>
      <w:r>
        <w:rPr>
          <w:rFonts w:hint="eastAsia" w:ascii="仿宋" w:hAnsi="仿宋" w:eastAsia="仿宋" w:cs="仿宋"/>
          <w:spacing w:val="9"/>
          <w:sz w:val="32"/>
          <w:szCs w:val="32"/>
        </w:rPr>
        <w:t>括约束性信息和鼓励性信息。约束性信息包括：监督检查结果为一般以下或者存在违  法违规问题，产品监督抽检或者预警监测结果为不合格信息， 受到行政强制措施或者行政处罚信息，同地区、同行业负面  评价，其他被证实的信访举报、媒体曝光、商业欺诈、失信违约信息等。</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0"/>
        <w:textAlignment w:val="baseline"/>
        <w:rPr>
          <w:rFonts w:hint="eastAsia" w:ascii="仿宋" w:hAnsi="仿宋" w:eastAsia="仿宋" w:cs="仿宋"/>
          <w:spacing w:val="9"/>
          <w:sz w:val="32"/>
          <w:szCs w:val="32"/>
        </w:rPr>
      </w:pPr>
      <w:r>
        <w:rPr>
          <w:rFonts w:hint="eastAsia" w:ascii="仿宋" w:hAnsi="仿宋" w:eastAsia="仿宋" w:cs="仿宋"/>
          <w:spacing w:val="9"/>
          <w:sz w:val="32"/>
          <w:szCs w:val="32"/>
        </w:rPr>
        <w:t>鼓励性信息包括：行政许可的次数、年限及车间数量</w:t>
      </w:r>
      <w:r>
        <w:rPr>
          <w:rFonts w:hint="eastAsia" w:ascii="仿宋" w:hAnsi="仿宋" w:eastAsia="仿宋" w:cs="仿宋"/>
          <w:spacing w:val="9"/>
          <w:sz w:val="32"/>
          <w:szCs w:val="32"/>
          <w:lang w:eastAsia="zh-CN"/>
        </w:rPr>
        <w:t>，</w:t>
      </w:r>
      <w:r>
        <w:rPr>
          <w:rFonts w:hint="eastAsia" w:ascii="仿宋" w:hAnsi="仿宋" w:eastAsia="仿宋" w:cs="仿宋"/>
          <w:spacing w:val="9"/>
          <w:sz w:val="32"/>
          <w:szCs w:val="32"/>
        </w:rPr>
        <w:t>监督检查未发现问题的次数，饲料兽药农药产品连续抽检合格的个数及年限，饲料兽药农药生产质量安全管理规范(GMP)检查评分或者示范企业等，饲料兽药农药安全生产、清洁生产、标准化认证等相关认证认可，饲料兽药农药生产统计信 息和兽药追溯信息齐全准确；饲料兽药农药新产品数量及品 牌知名度，产业化龙头企业、民生保障企业等资质，其他促 进行业进步、服务社会公益等先进典型和诚信方面做法，同地区、同行业肯定性评价等。</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0"/>
        <w:textAlignment w:val="baseline"/>
        <w:rPr>
          <w:rFonts w:hint="eastAsia" w:ascii="仿宋" w:hAnsi="仿宋" w:eastAsia="仿宋" w:cs="仿宋"/>
          <w:sz w:val="32"/>
          <w:szCs w:val="32"/>
        </w:rPr>
      </w:pPr>
      <w:r>
        <w:rPr>
          <w:rFonts w:hint="eastAsia" w:ascii="仿宋" w:hAnsi="仿宋" w:eastAsia="仿宋" w:cs="仿宋"/>
          <w:b/>
          <w:bCs/>
          <w:spacing w:val="9"/>
          <w:sz w:val="32"/>
          <w:szCs w:val="32"/>
        </w:rPr>
        <w:t>第六条</w:t>
      </w:r>
      <w:r>
        <w:rPr>
          <w:rFonts w:hint="eastAsia" w:ascii="仿宋" w:hAnsi="仿宋" w:eastAsia="仿宋" w:cs="仿宋"/>
          <w:b/>
          <w:bCs/>
          <w:spacing w:val="9"/>
          <w:sz w:val="32"/>
          <w:szCs w:val="32"/>
          <w:lang w:val="en-US" w:eastAsia="zh-CN"/>
        </w:rPr>
        <w:t xml:space="preserve"> </w:t>
      </w:r>
      <w:r>
        <w:rPr>
          <w:rFonts w:hint="eastAsia" w:ascii="仿宋" w:hAnsi="仿宋" w:eastAsia="仿宋" w:cs="仿宋"/>
          <w:spacing w:val="9"/>
          <w:sz w:val="32"/>
          <w:szCs w:val="32"/>
        </w:rPr>
        <w:t>等级分为优秀、良好、一般三个等级，分别用A、</w:t>
      </w:r>
      <w:r>
        <w:rPr>
          <w:rFonts w:hint="eastAsia" w:ascii="仿宋" w:hAnsi="仿宋" w:eastAsia="仿宋" w:cs="仿宋"/>
          <w:spacing w:val="1"/>
          <w:sz w:val="32"/>
          <w:szCs w:val="32"/>
        </w:rPr>
        <w:t>B、C三个字母和大笑、微笑、平脸三种卡通形象标识。</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0"/>
        <w:textAlignment w:val="baseline"/>
        <w:rPr>
          <w:rFonts w:hint="eastAsia" w:ascii="仿宋" w:hAnsi="仿宋" w:eastAsia="仿宋" w:cs="仿宋"/>
          <w:spacing w:val="9"/>
          <w:sz w:val="32"/>
          <w:szCs w:val="32"/>
        </w:rPr>
      </w:pPr>
      <w:r>
        <w:rPr>
          <w:rFonts w:hint="eastAsia" w:ascii="仿宋" w:hAnsi="仿宋" w:eastAsia="仿宋" w:cs="仿宋"/>
          <w:b/>
          <w:bCs/>
          <w:spacing w:val="19"/>
          <w:sz w:val="32"/>
          <w:szCs w:val="32"/>
        </w:rPr>
        <w:t>第七条</w:t>
      </w:r>
      <w:r>
        <w:rPr>
          <w:rFonts w:hint="eastAsia" w:ascii="仿宋" w:hAnsi="仿宋" w:eastAsia="仿宋" w:cs="仿宋"/>
          <w:b/>
          <w:bCs/>
          <w:spacing w:val="19"/>
          <w:sz w:val="32"/>
          <w:szCs w:val="32"/>
          <w:lang w:val="en-US" w:eastAsia="zh-CN"/>
        </w:rPr>
        <w:t xml:space="preserve"> </w:t>
      </w:r>
      <w:r>
        <w:rPr>
          <w:rFonts w:hint="eastAsia" w:ascii="仿宋" w:hAnsi="仿宋" w:eastAsia="仿宋" w:cs="仿宋"/>
          <w:spacing w:val="9"/>
          <w:sz w:val="32"/>
          <w:szCs w:val="32"/>
        </w:rPr>
        <w:t>本办法规定的A级、B级、C级原则上对应《开 封市农产品质量安全信用管理办法(试行)》中的诚信守法 (A+级、A级)、轻微失信(B级0)、一般失信(C级、C- 级),饲料兽药农药领域严重失信及黑名单企业(D级、D- 级)不予评定饲料兽药农药质量安全风险及信用等级，单独公布。</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0"/>
        <w:textAlignment w:val="baseline"/>
        <w:rPr>
          <w:rFonts w:hint="eastAsia" w:ascii="仿宋" w:hAnsi="仿宋" w:eastAsia="仿宋" w:cs="仿宋"/>
          <w:spacing w:val="9"/>
          <w:sz w:val="32"/>
          <w:szCs w:val="32"/>
        </w:rPr>
      </w:pPr>
      <w:r>
        <w:rPr>
          <w:rFonts w:hint="eastAsia" w:ascii="仿宋" w:hAnsi="仿宋" w:eastAsia="仿宋" w:cs="仿宋"/>
          <w:b/>
          <w:bCs/>
          <w:spacing w:val="9"/>
          <w:sz w:val="32"/>
          <w:szCs w:val="32"/>
        </w:rPr>
        <w:t>第八条</w:t>
      </w:r>
      <w:r>
        <w:rPr>
          <w:rFonts w:hint="eastAsia" w:ascii="仿宋" w:hAnsi="仿宋" w:eastAsia="仿宋" w:cs="仿宋"/>
          <w:b/>
          <w:bCs/>
          <w:spacing w:val="9"/>
          <w:sz w:val="32"/>
          <w:szCs w:val="32"/>
          <w:lang w:val="en-US" w:eastAsia="zh-CN"/>
        </w:rPr>
        <w:t xml:space="preserve"> </w:t>
      </w:r>
      <w:r>
        <w:rPr>
          <w:rFonts w:hint="eastAsia" w:ascii="仿宋" w:hAnsi="仿宋" w:eastAsia="仿宋" w:cs="仿宋"/>
          <w:spacing w:val="9"/>
          <w:sz w:val="32"/>
          <w:szCs w:val="32"/>
        </w:rPr>
        <w:t>量化等级为年度等级，以本年度12月31日起往前追溯1年为一个评定年度。评定出的等级有效期限为1年。</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textAlignment w:val="baseline"/>
        <w:rPr>
          <w:rFonts w:ascii="黑体" w:hAnsi="黑体" w:eastAsia="黑体" w:cs="黑体"/>
          <w:b/>
          <w:bCs/>
          <w:spacing w:val="74"/>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jc w:val="center"/>
        <w:textAlignment w:val="baseline"/>
        <w:rPr>
          <w:rFonts w:ascii="黑体" w:hAnsi="黑体" w:eastAsia="黑体" w:cs="黑体"/>
          <w:sz w:val="32"/>
          <w:szCs w:val="32"/>
        </w:rPr>
      </w:pPr>
      <w:r>
        <w:rPr>
          <w:rFonts w:ascii="黑体" w:hAnsi="黑体" w:eastAsia="黑体" w:cs="黑体"/>
          <w:b/>
          <w:bCs/>
          <w:spacing w:val="74"/>
          <w:sz w:val="32"/>
          <w:szCs w:val="32"/>
        </w:rPr>
        <w:t>第三章等级评定</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50"/>
        <w:textAlignment w:val="baseline"/>
        <w:rPr>
          <w:rFonts w:hint="eastAsia" w:ascii="仿宋" w:hAnsi="仿宋" w:eastAsia="仿宋" w:cs="仿宋"/>
          <w:spacing w:val="9"/>
          <w:sz w:val="32"/>
          <w:szCs w:val="32"/>
        </w:rPr>
      </w:pPr>
      <w:r>
        <w:rPr>
          <w:rFonts w:hint="eastAsia" w:ascii="仿宋" w:hAnsi="仿宋" w:eastAsia="仿宋" w:cs="仿宋"/>
          <w:b/>
          <w:bCs/>
          <w:spacing w:val="11"/>
          <w:sz w:val="32"/>
          <w:szCs w:val="32"/>
        </w:rPr>
        <w:t>第九条</w:t>
      </w:r>
      <w:r>
        <w:rPr>
          <w:rFonts w:hint="eastAsia" w:ascii="仿宋" w:hAnsi="仿宋" w:eastAsia="仿宋" w:cs="仿宋"/>
          <w:b/>
          <w:bCs/>
          <w:spacing w:val="11"/>
          <w:sz w:val="32"/>
          <w:szCs w:val="32"/>
          <w:lang w:val="en-US" w:eastAsia="zh-CN"/>
        </w:rPr>
        <w:t xml:space="preserve"> </w:t>
      </w:r>
      <w:r>
        <w:rPr>
          <w:rFonts w:hint="eastAsia" w:ascii="仿宋" w:hAnsi="仿宋" w:eastAsia="仿宋" w:cs="仿宋"/>
          <w:spacing w:val="9"/>
          <w:sz w:val="32"/>
          <w:szCs w:val="32"/>
        </w:rPr>
        <w:t>年度质量安全信用信息由企业所在</w:t>
      </w:r>
      <w:r>
        <w:rPr>
          <w:rFonts w:hint="eastAsia" w:ascii="仿宋" w:hAnsi="仿宋" w:eastAsia="仿宋" w:cs="仿宋"/>
          <w:spacing w:val="9"/>
          <w:sz w:val="32"/>
          <w:szCs w:val="32"/>
          <w:lang w:eastAsia="zh-CN"/>
        </w:rPr>
        <w:t>区</w:t>
      </w:r>
      <w:r>
        <w:rPr>
          <w:rFonts w:hint="eastAsia" w:ascii="仿宋" w:hAnsi="仿宋" w:eastAsia="仿宋" w:cs="仿宋"/>
          <w:spacing w:val="9"/>
          <w:sz w:val="32"/>
          <w:szCs w:val="32"/>
        </w:rPr>
        <w:t>、</w:t>
      </w:r>
      <w:r>
        <w:rPr>
          <w:rFonts w:hint="eastAsia" w:ascii="仿宋" w:hAnsi="仿宋" w:eastAsia="仿宋" w:cs="仿宋"/>
          <w:spacing w:val="9"/>
          <w:sz w:val="32"/>
          <w:szCs w:val="32"/>
          <w:lang w:eastAsia="zh-CN"/>
        </w:rPr>
        <w:t>乡</w:t>
      </w:r>
      <w:r>
        <w:rPr>
          <w:rFonts w:hint="eastAsia" w:ascii="仿宋" w:hAnsi="仿宋" w:eastAsia="仿宋" w:cs="仿宋"/>
          <w:spacing w:val="9"/>
          <w:sz w:val="32"/>
          <w:szCs w:val="32"/>
        </w:rPr>
        <w:t>级饲 料兽药农药管理部门组织人员在每年1月份汇集信息，按照 《</w:t>
      </w:r>
      <w:r>
        <w:rPr>
          <w:rFonts w:hint="eastAsia" w:ascii="仿宋" w:hAnsi="仿宋" w:eastAsia="仿宋" w:cs="仿宋"/>
          <w:spacing w:val="9"/>
          <w:sz w:val="32"/>
          <w:szCs w:val="32"/>
          <w:lang w:eastAsia="zh-CN"/>
        </w:rPr>
        <w:t>龙亭区</w:t>
      </w:r>
      <w:r>
        <w:rPr>
          <w:rFonts w:hint="eastAsia" w:ascii="仿宋" w:hAnsi="仿宋" w:eastAsia="仿宋" w:cs="仿宋"/>
          <w:spacing w:val="9"/>
          <w:sz w:val="32"/>
          <w:szCs w:val="32"/>
        </w:rPr>
        <w:t>饲料兽药农药生产企业质量安全信用分级评价表》 (见附表1)进行打分；</w:t>
      </w:r>
      <w:r>
        <w:rPr>
          <w:rFonts w:hint="eastAsia" w:ascii="仿宋" w:hAnsi="仿宋" w:eastAsia="仿宋" w:cs="仿宋"/>
          <w:spacing w:val="9"/>
          <w:sz w:val="32"/>
          <w:szCs w:val="32"/>
          <w:lang w:eastAsia="zh-CN"/>
        </w:rPr>
        <w:t>区</w:t>
      </w:r>
      <w:r>
        <w:rPr>
          <w:rFonts w:hint="eastAsia" w:ascii="仿宋" w:hAnsi="仿宋" w:eastAsia="仿宋" w:cs="仿宋"/>
          <w:spacing w:val="9"/>
          <w:sz w:val="32"/>
          <w:szCs w:val="32"/>
        </w:rPr>
        <w:t>级饲料兽药农药管理部门组织人员在每年2月15日前对各</w:t>
      </w:r>
      <w:r>
        <w:rPr>
          <w:rFonts w:hint="eastAsia" w:ascii="仿宋" w:hAnsi="仿宋" w:eastAsia="仿宋" w:cs="仿宋"/>
          <w:spacing w:val="9"/>
          <w:sz w:val="32"/>
          <w:szCs w:val="32"/>
          <w:lang w:eastAsia="zh-CN"/>
        </w:rPr>
        <w:t>乡</w:t>
      </w:r>
      <w:r>
        <w:rPr>
          <w:rFonts w:hint="eastAsia" w:ascii="仿宋" w:hAnsi="仿宋" w:eastAsia="仿宋" w:cs="仿宋"/>
          <w:spacing w:val="9"/>
          <w:sz w:val="32"/>
          <w:szCs w:val="32"/>
        </w:rPr>
        <w:t>企业分数进行汇总复核，按照比例确定全</w:t>
      </w:r>
      <w:r>
        <w:rPr>
          <w:rFonts w:hint="eastAsia" w:ascii="仿宋" w:hAnsi="仿宋" w:eastAsia="仿宋" w:cs="仿宋"/>
          <w:spacing w:val="9"/>
          <w:sz w:val="32"/>
          <w:szCs w:val="32"/>
          <w:lang w:eastAsia="zh-CN"/>
        </w:rPr>
        <w:t>区</w:t>
      </w:r>
      <w:r>
        <w:rPr>
          <w:rFonts w:hint="eastAsia" w:ascii="仿宋" w:hAnsi="仿宋" w:eastAsia="仿宋" w:cs="仿宋"/>
          <w:spacing w:val="9"/>
          <w:sz w:val="32"/>
          <w:szCs w:val="32"/>
        </w:rPr>
        <w:t>A、B、C等级企业名单，报</w:t>
      </w:r>
      <w:r>
        <w:rPr>
          <w:rFonts w:hint="eastAsia" w:ascii="仿宋" w:hAnsi="仿宋" w:eastAsia="仿宋" w:cs="仿宋"/>
          <w:spacing w:val="9"/>
          <w:sz w:val="32"/>
          <w:szCs w:val="32"/>
          <w:lang w:eastAsia="zh-CN"/>
        </w:rPr>
        <w:t>区</w:t>
      </w:r>
      <w:r>
        <w:rPr>
          <w:rFonts w:hint="eastAsia" w:ascii="仿宋" w:hAnsi="仿宋" w:eastAsia="仿宋" w:cs="仿宋"/>
          <w:spacing w:val="9"/>
          <w:sz w:val="32"/>
          <w:szCs w:val="32"/>
        </w:rPr>
        <w:t>级饲料兽药农药管理部门汇总，在网站公示，公开征求社会公众意见。</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rPr>
      </w:pPr>
      <w:r>
        <w:rPr>
          <w:rFonts w:hint="eastAsia" w:ascii="仿宋" w:hAnsi="仿宋" w:eastAsia="仿宋" w:cs="仿宋"/>
          <w:b/>
          <w:bCs/>
          <w:spacing w:val="35"/>
          <w:sz w:val="32"/>
          <w:szCs w:val="32"/>
        </w:rPr>
        <w:t>第十条</w:t>
      </w:r>
      <w:r>
        <w:rPr>
          <w:rFonts w:hint="eastAsia" w:ascii="仿宋" w:hAnsi="仿宋" w:eastAsia="仿宋" w:cs="仿宋"/>
          <w:b/>
          <w:bCs/>
          <w:spacing w:val="35"/>
          <w:sz w:val="32"/>
          <w:szCs w:val="32"/>
          <w:lang w:val="en-US" w:eastAsia="zh-CN"/>
        </w:rPr>
        <w:t xml:space="preserve"> </w:t>
      </w:r>
      <w:r>
        <w:rPr>
          <w:rFonts w:hint="eastAsia" w:ascii="仿宋" w:hAnsi="仿宋" w:eastAsia="仿宋" w:cs="仿宋"/>
          <w:spacing w:val="9"/>
          <w:sz w:val="32"/>
          <w:szCs w:val="32"/>
          <w:lang w:eastAsia="zh-CN"/>
        </w:rPr>
        <w:t>区</w:t>
      </w:r>
      <w:r>
        <w:rPr>
          <w:rFonts w:hint="eastAsia" w:ascii="仿宋" w:hAnsi="仿宋" w:eastAsia="仿宋" w:cs="仿宋"/>
          <w:spacing w:val="9"/>
          <w:sz w:val="32"/>
          <w:szCs w:val="32"/>
        </w:rPr>
        <w:t>级饲料兽药农药管理部门于每年3月1日前向社会公布年度饲料、兽药生产企业质量安全信用等级最终评定结果。</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pPr>
      <w:r>
        <w:rPr>
          <w:rFonts w:hint="eastAsia" w:ascii="仿宋" w:hAnsi="仿宋" w:eastAsia="仿宋" w:cs="仿宋"/>
          <w:b/>
          <w:bCs/>
          <w:spacing w:val="9"/>
          <w:sz w:val="32"/>
          <w:szCs w:val="32"/>
          <w:lang w:eastAsia="zh-CN"/>
        </w:rPr>
        <w:t>第十一条</w:t>
      </w:r>
      <w:r>
        <w:rPr>
          <w:rFonts w:hint="eastAsia" w:ascii="仿宋" w:hAnsi="仿宋" w:eastAsia="仿宋" w:cs="仿宋"/>
          <w:b/>
          <w:bCs/>
          <w:spacing w:val="9"/>
          <w:sz w:val="32"/>
          <w:szCs w:val="32"/>
          <w:lang w:val="en-US" w:eastAsia="zh-CN"/>
        </w:rPr>
        <w:t xml:space="preserve"> </w:t>
      </w:r>
      <w:r>
        <w:rPr>
          <w:rFonts w:hint="eastAsia" w:ascii="仿宋" w:hAnsi="仿宋" w:eastAsia="仿宋" w:cs="仿宋"/>
          <w:spacing w:val="9"/>
          <w:sz w:val="32"/>
          <w:szCs w:val="32"/>
          <w:lang w:eastAsia="zh-CN"/>
        </w:rPr>
        <w:t>量化分级评定可以采用电子计算机信息系统</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textAlignment w:val="baseline"/>
        <w:rPr>
          <w:rFonts w:hint="eastAsia" w:ascii="仿宋" w:hAnsi="仿宋" w:eastAsia="仿宋" w:cs="仿宋"/>
          <w:spacing w:val="9"/>
          <w:sz w:val="32"/>
          <w:szCs w:val="32"/>
          <w:lang w:eastAsia="zh-CN"/>
        </w:rPr>
      </w:pPr>
      <w:r>
        <w:rPr>
          <w:rFonts w:hint="eastAsia" w:ascii="仿宋" w:hAnsi="仿宋" w:eastAsia="仿宋" w:cs="仿宋"/>
          <w:spacing w:val="9"/>
          <w:sz w:val="32"/>
          <w:szCs w:val="32"/>
          <w:lang w:eastAsia="zh-CN"/>
        </w:rPr>
        <w:t>自动评定，也可以集中人员进行书面评定打分。人员书面评定时，应当至少由3名以上评价人员具体承 担，评价人员由行业管理、执法监管、用户代表、协会专家 等方面人员组成。评价人员按照《龙亭区饲料兽药农药生产 企业质量安全信用分级评价表》内容现场检查核对，进行量 化评价，填写评价表，“总分”即为该企业本次得分，由评价人员和企业负责人员签字认可。</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pPr>
      <w:r>
        <w:rPr>
          <w:rFonts w:hint="eastAsia" w:ascii="仿宋" w:hAnsi="仿宋" w:eastAsia="仿宋" w:cs="仿宋"/>
          <w:b/>
          <w:bCs/>
          <w:spacing w:val="9"/>
          <w:sz w:val="32"/>
          <w:szCs w:val="32"/>
          <w:lang w:eastAsia="zh-CN"/>
        </w:rPr>
        <w:t>第十二条</w:t>
      </w:r>
      <w:r>
        <w:rPr>
          <w:rFonts w:hint="eastAsia" w:ascii="仿宋" w:hAnsi="仿宋" w:eastAsia="仿宋" w:cs="仿宋"/>
          <w:spacing w:val="9"/>
          <w:sz w:val="32"/>
          <w:szCs w:val="32"/>
          <w:lang w:val="en-US" w:eastAsia="zh-CN"/>
        </w:rPr>
        <w:t xml:space="preserve"> </w:t>
      </w:r>
      <w:r>
        <w:rPr>
          <w:rFonts w:hint="eastAsia" w:ascii="仿宋" w:hAnsi="仿宋" w:eastAsia="仿宋" w:cs="仿宋"/>
          <w:spacing w:val="9"/>
          <w:sz w:val="32"/>
          <w:szCs w:val="32"/>
          <w:lang w:eastAsia="zh-CN"/>
        </w:rPr>
        <w:t>根据评价分数，按辖区内所有饲料、兽药生产企业数量，确定比例不高于30%为优秀企业(A级)、不低于10%比例为一般企业(C级),其他为良好企业(B级)。评定分数在60分以下的，或者1项以上(含1项)关键项不符合要求的，应评为C级。</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pPr>
      <w:r>
        <w:rPr>
          <w:rFonts w:hint="eastAsia" w:ascii="仿宋" w:hAnsi="仿宋" w:eastAsia="仿宋" w:cs="仿宋"/>
          <w:b/>
          <w:bCs/>
          <w:spacing w:val="9"/>
          <w:sz w:val="32"/>
          <w:szCs w:val="32"/>
          <w:lang w:eastAsia="zh-CN"/>
        </w:rPr>
        <w:t>第十三条</w:t>
      </w:r>
      <w:r>
        <w:rPr>
          <w:rFonts w:hint="eastAsia" w:ascii="仿宋" w:hAnsi="仿宋" w:eastAsia="仿宋" w:cs="仿宋"/>
          <w:spacing w:val="9"/>
          <w:sz w:val="32"/>
          <w:szCs w:val="32"/>
          <w:lang w:val="en-US" w:eastAsia="zh-CN"/>
        </w:rPr>
        <w:t xml:space="preserve"> </w:t>
      </w:r>
      <w:r>
        <w:rPr>
          <w:rFonts w:hint="eastAsia" w:ascii="仿宋" w:hAnsi="仿宋" w:eastAsia="仿宋" w:cs="仿宋"/>
          <w:spacing w:val="9"/>
          <w:sz w:val="32"/>
          <w:szCs w:val="32"/>
          <w:lang w:eastAsia="zh-CN"/>
        </w:rPr>
        <w:t>乡级饲料兽药农药管理部门应在评定结果公 布后的20个工作日内，将饲料兽药农药生产企业年度 分级评定结果告知辖区内有关企业，及时调整公示牌标识，并进行广泛宣传推广，通报到辖区内规模养殖企业(场)、兽药经营单位等相关饲料兽药农药经营、使用单位。</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pPr>
      <w:r>
        <w:rPr>
          <w:rFonts w:hint="eastAsia" w:ascii="仿宋" w:hAnsi="仿宋" w:eastAsia="仿宋" w:cs="仿宋"/>
          <w:b/>
          <w:bCs/>
          <w:spacing w:val="9"/>
          <w:sz w:val="32"/>
          <w:szCs w:val="32"/>
          <w:lang w:eastAsia="zh-CN"/>
        </w:rPr>
        <w:t>第十四条</w:t>
      </w:r>
      <w:r>
        <w:rPr>
          <w:rFonts w:hint="eastAsia" w:ascii="仿宋" w:hAnsi="仿宋" w:eastAsia="仿宋" w:cs="仿宋"/>
          <w:spacing w:val="9"/>
          <w:sz w:val="32"/>
          <w:szCs w:val="32"/>
          <w:lang w:val="en-US" w:eastAsia="zh-CN"/>
        </w:rPr>
        <w:t xml:space="preserve"> </w:t>
      </w:r>
      <w:r>
        <w:rPr>
          <w:rFonts w:hint="eastAsia" w:ascii="仿宋" w:hAnsi="仿宋" w:eastAsia="仿宋" w:cs="仿宋"/>
          <w:spacing w:val="9"/>
          <w:sz w:val="32"/>
          <w:szCs w:val="32"/>
          <w:lang w:eastAsia="zh-CN"/>
        </w:rPr>
        <w:t>在评定年度6月31日后取得生产许可的，当  年度不予评定等级。在此期间的质量安全信用信息计入下一评定年限。</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pPr>
      <w:r>
        <w:rPr>
          <w:rFonts w:hint="eastAsia" w:ascii="仿宋" w:hAnsi="仿宋" w:eastAsia="仿宋" w:cs="仿宋"/>
          <w:b/>
          <w:bCs/>
          <w:spacing w:val="9"/>
          <w:sz w:val="32"/>
          <w:szCs w:val="32"/>
          <w:lang w:eastAsia="zh-CN"/>
        </w:rPr>
        <w:t>第十五条</w:t>
      </w:r>
      <w:r>
        <w:rPr>
          <w:rFonts w:hint="eastAsia" w:ascii="仿宋" w:hAnsi="仿宋" w:eastAsia="仿宋" w:cs="仿宋"/>
          <w:spacing w:val="9"/>
          <w:sz w:val="32"/>
          <w:szCs w:val="32"/>
          <w:lang w:val="en-US" w:eastAsia="zh-CN"/>
        </w:rPr>
        <w:t xml:space="preserve"> </w:t>
      </w:r>
      <w:r>
        <w:rPr>
          <w:rFonts w:hint="eastAsia" w:ascii="仿宋" w:hAnsi="仿宋" w:eastAsia="仿宋" w:cs="仿宋"/>
          <w:spacing w:val="9"/>
          <w:sz w:val="32"/>
          <w:szCs w:val="32"/>
          <w:lang w:eastAsia="zh-CN"/>
        </w:rPr>
        <w:t>同一地址同时具备饲料、兽药两类产品生产资质的生产企业，评级结果应原则上一致。</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pPr>
      <w:r>
        <w:rPr>
          <w:rFonts w:hint="eastAsia" w:ascii="仿宋" w:hAnsi="仿宋" w:eastAsia="仿宋" w:cs="仿宋"/>
          <w:b/>
          <w:bCs/>
          <w:spacing w:val="9"/>
          <w:sz w:val="32"/>
          <w:szCs w:val="32"/>
          <w:lang w:eastAsia="zh-CN"/>
        </w:rPr>
        <w:t>第十六条</w:t>
      </w:r>
      <w:r>
        <w:rPr>
          <w:rFonts w:hint="eastAsia" w:ascii="仿宋" w:hAnsi="仿宋" w:eastAsia="仿宋" w:cs="仿宋"/>
          <w:spacing w:val="9"/>
          <w:sz w:val="32"/>
          <w:szCs w:val="32"/>
          <w:lang w:val="en-US" w:eastAsia="zh-CN"/>
        </w:rPr>
        <w:t xml:space="preserve"> </w:t>
      </w:r>
      <w:r>
        <w:rPr>
          <w:rFonts w:hint="eastAsia" w:ascii="仿宋" w:hAnsi="仿宋" w:eastAsia="仿宋" w:cs="仿宋"/>
          <w:spacing w:val="9"/>
          <w:sz w:val="32"/>
          <w:szCs w:val="32"/>
          <w:lang w:eastAsia="zh-CN"/>
        </w:rPr>
        <w:t>因季节性生产、市场经营不善、环保限产等  原因，暂时停止生产但未停止经营活动的企业，正常评定等级。</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pPr>
      <w:r>
        <w:rPr>
          <w:rFonts w:hint="eastAsia" w:ascii="仿宋" w:hAnsi="仿宋" w:eastAsia="仿宋" w:cs="仿宋"/>
          <w:spacing w:val="9"/>
          <w:sz w:val="32"/>
          <w:szCs w:val="32"/>
          <w:lang w:eastAsia="zh-CN"/>
        </w:rPr>
        <w:t>对企业因拆迁倒闭、违法被关停、联系不到负责人或者拒不配合检查抽检的企业，或者发现饲料兽药农药生产企业  存在重大违法违规问题，已经查清事实尚未完成行政处罚的，</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textAlignment w:val="baseline"/>
        <w:rPr>
          <w:rFonts w:hint="eastAsia" w:ascii="仿宋" w:hAnsi="仿宋" w:eastAsia="仿宋" w:cs="仿宋"/>
          <w:spacing w:val="9"/>
          <w:sz w:val="32"/>
          <w:szCs w:val="32"/>
          <w:lang w:eastAsia="zh-CN"/>
        </w:rPr>
      </w:pPr>
      <w:r>
        <w:rPr>
          <w:rFonts w:hint="eastAsia" w:ascii="仿宋" w:hAnsi="仿宋" w:eastAsia="仿宋" w:cs="仿宋"/>
          <w:spacing w:val="9"/>
          <w:sz w:val="32"/>
          <w:szCs w:val="32"/>
          <w:lang w:eastAsia="zh-CN"/>
        </w:rPr>
        <w:t>应评为C级。</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pPr>
      <w:r>
        <w:rPr>
          <w:rFonts w:hint="eastAsia" w:ascii="仿宋" w:hAnsi="仿宋" w:eastAsia="仿宋" w:cs="仿宋"/>
          <w:b/>
          <w:bCs/>
          <w:spacing w:val="9"/>
          <w:sz w:val="32"/>
          <w:szCs w:val="32"/>
          <w:lang w:eastAsia="zh-CN"/>
        </w:rPr>
        <w:t>第十七条</w:t>
      </w:r>
      <w:r>
        <w:rPr>
          <w:rFonts w:hint="eastAsia" w:ascii="仿宋" w:hAnsi="仿宋" w:eastAsia="仿宋" w:cs="仿宋"/>
          <w:spacing w:val="9"/>
          <w:sz w:val="32"/>
          <w:szCs w:val="32"/>
          <w:lang w:val="en-US" w:eastAsia="zh-CN"/>
        </w:rPr>
        <w:t xml:space="preserve"> </w:t>
      </w:r>
      <w:r>
        <w:rPr>
          <w:rFonts w:hint="eastAsia" w:ascii="仿宋" w:hAnsi="仿宋" w:eastAsia="仿宋" w:cs="仿宋"/>
          <w:spacing w:val="9"/>
          <w:sz w:val="32"/>
          <w:szCs w:val="32"/>
          <w:lang w:eastAsia="zh-CN"/>
        </w:rPr>
        <w:t>评定年度内，饲料兽药农药生产经营者在国  家企业信用信息公示系统、信用中国网站等相关官方网站， 可以查到的信用记录、违法记录，可作为质量安全信用等级评定的依据信息。</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pPr>
      <w:r>
        <w:rPr>
          <w:rFonts w:hint="eastAsia" w:ascii="仿宋" w:hAnsi="仿宋" w:eastAsia="仿宋" w:cs="仿宋"/>
          <w:b/>
          <w:bCs/>
          <w:spacing w:val="9"/>
          <w:sz w:val="32"/>
          <w:szCs w:val="32"/>
          <w:lang w:eastAsia="zh-CN"/>
        </w:rPr>
        <w:t>第十八条</w:t>
      </w:r>
      <w:r>
        <w:rPr>
          <w:rFonts w:hint="eastAsia" w:ascii="仿宋" w:hAnsi="仿宋" w:eastAsia="仿宋" w:cs="仿宋"/>
          <w:spacing w:val="9"/>
          <w:sz w:val="32"/>
          <w:szCs w:val="32"/>
          <w:lang w:val="en-US" w:eastAsia="zh-CN"/>
        </w:rPr>
        <w:t xml:space="preserve"> </w:t>
      </w:r>
      <w:r>
        <w:rPr>
          <w:rFonts w:hint="eastAsia" w:ascii="仿宋" w:hAnsi="仿宋" w:eastAsia="仿宋" w:cs="仿宋"/>
          <w:spacing w:val="9"/>
          <w:sz w:val="32"/>
          <w:szCs w:val="32"/>
          <w:lang w:eastAsia="zh-CN"/>
        </w:rPr>
        <w:t>在年度有效期内，企业等级实行动态管理，负 责评级的乡饲料兽药农药管理部门可以进行动态调整，结果报区级备案。</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pPr>
      <w:r>
        <w:rPr>
          <w:rFonts w:hint="eastAsia" w:ascii="仿宋" w:hAnsi="仿宋" w:eastAsia="仿宋" w:cs="仿宋"/>
          <w:b/>
          <w:bCs/>
          <w:spacing w:val="9"/>
          <w:sz w:val="32"/>
          <w:szCs w:val="32"/>
          <w:lang w:eastAsia="zh-CN"/>
        </w:rPr>
        <w:t>第十九条</w:t>
      </w:r>
      <w:r>
        <w:rPr>
          <w:rFonts w:hint="eastAsia" w:ascii="仿宋" w:hAnsi="仿宋" w:eastAsia="仿宋" w:cs="仿宋"/>
          <w:spacing w:val="9"/>
          <w:sz w:val="32"/>
          <w:szCs w:val="32"/>
          <w:lang w:val="en-US" w:eastAsia="zh-CN"/>
        </w:rPr>
        <w:t xml:space="preserve"> </w:t>
      </w:r>
      <w:r>
        <w:rPr>
          <w:rFonts w:hint="eastAsia" w:ascii="仿宋" w:hAnsi="仿宋" w:eastAsia="仿宋" w:cs="仿宋"/>
          <w:spacing w:val="9"/>
          <w:sz w:val="32"/>
          <w:szCs w:val="32"/>
          <w:lang w:eastAsia="zh-CN"/>
        </w:rPr>
        <w:t>区级饲料兽药农药管理部门负责受理饲料兽药农药生产企业、个人和社会组织关于饲料兽药农药生产企业年度分级评定的申诉、异议反映。企业可以提供证据材料，要求当地管理部门重新对其进于评定。</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pPr>
      <w:r>
        <w:rPr>
          <w:rFonts w:hint="eastAsia" w:ascii="仿宋" w:hAnsi="仿宋" w:eastAsia="仿宋" w:cs="仿宋"/>
          <w:b/>
          <w:bCs/>
          <w:spacing w:val="9"/>
          <w:sz w:val="32"/>
          <w:szCs w:val="32"/>
          <w:lang w:eastAsia="zh-CN"/>
        </w:rPr>
        <w:t>第二十条</w:t>
      </w:r>
      <w:r>
        <w:rPr>
          <w:rFonts w:hint="eastAsia" w:ascii="仿宋" w:hAnsi="仿宋" w:eastAsia="仿宋" w:cs="仿宋"/>
          <w:spacing w:val="9"/>
          <w:sz w:val="32"/>
          <w:szCs w:val="32"/>
          <w:lang w:val="en-US" w:eastAsia="zh-CN"/>
        </w:rPr>
        <w:t xml:space="preserve"> </w:t>
      </w:r>
      <w:r>
        <w:rPr>
          <w:rFonts w:hint="eastAsia" w:ascii="仿宋" w:hAnsi="仿宋" w:eastAsia="仿宋" w:cs="仿宋"/>
          <w:spacing w:val="9"/>
          <w:sz w:val="32"/>
          <w:szCs w:val="32"/>
          <w:lang w:eastAsia="zh-CN"/>
        </w:rPr>
        <w:t>饲料兽药农药生产企业发生重大安全生产和 质量安全事故的，或者一年内2批次以上产品监督抽检结果 不合格的，以及拒不不按照要求整改的，由区级饲料兽药农 药管理部门发布公告，将企业质量安全信用等级动态降低到相应的等级。被降级的企业，在等级有效期内，不得再上调等级。等级可以越级下降，不经过重新评定，不得上调信用等级。</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jc w:val="center"/>
        <w:textAlignment w:val="baseline"/>
        <w:rPr>
          <w:rFonts w:hint="eastAsia" w:ascii="黑体" w:hAnsi="黑体" w:eastAsia="黑体" w:cs="黑体"/>
          <w:spacing w:val="9"/>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jc w:val="center"/>
        <w:textAlignment w:val="baseline"/>
        <w:rPr>
          <w:rFonts w:hint="eastAsia" w:ascii="黑体" w:hAnsi="黑体" w:eastAsia="黑体" w:cs="黑体"/>
          <w:spacing w:val="9"/>
          <w:sz w:val="32"/>
          <w:szCs w:val="32"/>
          <w:lang w:eastAsia="zh-CN"/>
        </w:rPr>
      </w:pPr>
      <w:r>
        <w:rPr>
          <w:rFonts w:hint="eastAsia" w:ascii="黑体" w:hAnsi="黑体" w:eastAsia="黑体" w:cs="黑体"/>
          <w:spacing w:val="9"/>
          <w:sz w:val="32"/>
          <w:szCs w:val="32"/>
          <w:lang w:eastAsia="zh-CN"/>
        </w:rPr>
        <w:t>第 四 章 等 级 标 识</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pPr>
      <w:r>
        <w:rPr>
          <w:rFonts w:hint="eastAsia" w:ascii="仿宋" w:hAnsi="仿宋" w:eastAsia="仿宋" w:cs="仿宋"/>
          <w:b/>
          <w:bCs/>
          <w:spacing w:val="9"/>
          <w:sz w:val="32"/>
          <w:szCs w:val="32"/>
          <w:lang w:eastAsia="zh-CN"/>
        </w:rPr>
        <w:t>第二十一条</w:t>
      </w:r>
      <w:r>
        <w:rPr>
          <w:rFonts w:hint="eastAsia" w:ascii="仿宋" w:hAnsi="仿宋" w:eastAsia="仿宋" w:cs="仿宋"/>
          <w:b/>
          <w:bCs/>
          <w:spacing w:val="9"/>
          <w:sz w:val="32"/>
          <w:szCs w:val="32"/>
          <w:lang w:val="en-US" w:eastAsia="zh-CN"/>
        </w:rPr>
        <w:t xml:space="preserve"> </w:t>
      </w:r>
      <w:r>
        <w:rPr>
          <w:rFonts w:hint="eastAsia" w:ascii="仿宋" w:hAnsi="仿宋" w:eastAsia="仿宋" w:cs="仿宋"/>
          <w:spacing w:val="9"/>
          <w:sz w:val="32"/>
          <w:szCs w:val="32"/>
          <w:lang w:eastAsia="zh-CN"/>
        </w:rPr>
        <w:t>区、乡级饲料兽药农药管理部门按照统一 规定的模板和格式制作公示牌。公示牌名称为“龙亭区饲料(兽药)生产企业等级公示牌”,规格为宽42厘米×高60厘米或者宽60厘米×高90厘米，背景颜色为蓝色。</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pPr>
      <w:r>
        <w:rPr>
          <w:rFonts w:hint="eastAsia" w:ascii="仿宋" w:hAnsi="仿宋" w:eastAsia="仿宋" w:cs="仿宋"/>
          <w:b/>
          <w:bCs/>
          <w:spacing w:val="9"/>
          <w:sz w:val="32"/>
          <w:szCs w:val="32"/>
          <w:lang w:eastAsia="zh-CN"/>
        </w:rPr>
        <w:t>第二十二条</w:t>
      </w:r>
      <w:r>
        <w:rPr>
          <w:rFonts w:hint="eastAsia" w:ascii="仿宋" w:hAnsi="仿宋" w:eastAsia="仿宋" w:cs="仿宋"/>
          <w:spacing w:val="9"/>
          <w:sz w:val="32"/>
          <w:szCs w:val="32"/>
          <w:lang w:val="en-US" w:eastAsia="zh-CN"/>
        </w:rPr>
        <w:t xml:space="preserve"> </w:t>
      </w:r>
      <w:r>
        <w:rPr>
          <w:rFonts w:hint="eastAsia" w:ascii="仿宋" w:hAnsi="仿宋" w:eastAsia="仿宋" w:cs="仿宋"/>
          <w:spacing w:val="9"/>
          <w:sz w:val="32"/>
          <w:szCs w:val="32"/>
          <w:lang w:eastAsia="zh-CN"/>
        </w:rPr>
        <w:t>饲料、兽药生产企业应将公示牌摆放、悬 挂在企业大门口、办公楼一楼大厅等显著位置，未经管理部门允许，不得修改或者遮盖。</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2423" w:firstLineChars="717"/>
        <w:textAlignment w:val="baseline"/>
        <w:rPr>
          <w:rFonts w:hint="eastAsia" w:ascii="黑体" w:hAnsi="黑体" w:eastAsia="黑体" w:cs="黑体"/>
          <w:spacing w:val="9"/>
          <w:sz w:val="32"/>
          <w:szCs w:val="32"/>
          <w:lang w:eastAsia="zh-CN"/>
        </w:rPr>
      </w:pPr>
      <w:r>
        <w:rPr>
          <w:rFonts w:hint="eastAsia" w:ascii="黑体" w:hAnsi="黑体" w:eastAsia="黑体" w:cs="黑体"/>
          <w:spacing w:val="9"/>
          <w:sz w:val="32"/>
          <w:szCs w:val="32"/>
          <w:lang w:eastAsia="zh-CN"/>
        </w:rPr>
        <w:t>第 五 章 分 级 结 果 应 用</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pPr>
      <w:r>
        <w:rPr>
          <w:rFonts w:hint="eastAsia" w:ascii="仿宋" w:hAnsi="仿宋" w:eastAsia="仿宋" w:cs="仿宋"/>
          <w:b/>
          <w:bCs/>
          <w:spacing w:val="9"/>
          <w:sz w:val="32"/>
          <w:szCs w:val="32"/>
          <w:lang w:eastAsia="zh-CN"/>
        </w:rPr>
        <w:t>第二十三条</w:t>
      </w:r>
      <w:r>
        <w:rPr>
          <w:rFonts w:hint="eastAsia" w:ascii="仿宋" w:hAnsi="仿宋" w:eastAsia="仿宋" w:cs="仿宋"/>
          <w:spacing w:val="9"/>
          <w:sz w:val="32"/>
          <w:szCs w:val="32"/>
          <w:lang w:val="en-US" w:eastAsia="zh-CN"/>
        </w:rPr>
        <w:t xml:space="preserve"> </w:t>
      </w:r>
      <w:r>
        <w:rPr>
          <w:rFonts w:hint="eastAsia" w:ascii="仿宋" w:hAnsi="仿宋" w:eastAsia="仿宋" w:cs="仿宋"/>
          <w:spacing w:val="9"/>
          <w:sz w:val="32"/>
          <w:szCs w:val="32"/>
          <w:lang w:eastAsia="zh-CN"/>
        </w:rPr>
        <w:t>对分级评价为优秀(A级)的饲料兽药</w:t>
      </w:r>
      <w:r>
        <w:rPr>
          <w:rFonts w:hint="eastAsia" w:ascii="仿宋" w:hAnsi="仿宋" w:eastAsia="仿宋" w:cs="仿宋"/>
          <w:spacing w:val="9"/>
          <w:sz w:val="32"/>
          <w:szCs w:val="32"/>
          <w:lang w:val="en-US" w:eastAsia="zh-CN"/>
        </w:rPr>
        <w:t>农</w:t>
      </w:r>
      <w:r>
        <w:rPr>
          <w:rFonts w:hint="eastAsia" w:ascii="仿宋" w:hAnsi="仿宋" w:eastAsia="仿宋" w:cs="仿宋"/>
          <w:spacing w:val="9"/>
          <w:sz w:val="32"/>
          <w:szCs w:val="32"/>
          <w:lang w:eastAsia="zh-CN"/>
        </w:rPr>
        <w:t>药生产企业，采取以主体自律为主、监督管理为辅的方针，除专项整治、投诉举报或上级督办外，实行“非请勿扰”诚信管理制度。</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pPr>
      <w:r>
        <w:rPr>
          <w:rFonts w:hint="eastAsia" w:ascii="仿宋" w:hAnsi="仿宋" w:eastAsia="仿宋" w:cs="仿宋"/>
          <w:spacing w:val="9"/>
          <w:sz w:val="32"/>
          <w:szCs w:val="32"/>
          <w:lang w:eastAsia="zh-CN"/>
        </w:rPr>
        <w:t>在办理饲料兽药农药行政许可和服务事项时，实行容缺受理、简化程序、绿色通道等支持激励措施；</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pPr>
      <w:r>
        <w:rPr>
          <w:rFonts w:hint="eastAsia" w:ascii="仿宋" w:hAnsi="仿宋" w:eastAsia="仿宋" w:cs="仿宋"/>
          <w:spacing w:val="9"/>
          <w:sz w:val="32"/>
          <w:szCs w:val="32"/>
          <w:lang w:eastAsia="zh-CN"/>
        </w:rPr>
        <w:t>(二)减少监管检查和监督抽检频次、数量；</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pPr>
      <w:r>
        <w:rPr>
          <w:rFonts w:hint="eastAsia" w:ascii="仿宋" w:hAnsi="仿宋" w:eastAsia="仿宋" w:cs="仿宋"/>
          <w:spacing w:val="9"/>
          <w:sz w:val="32"/>
          <w:szCs w:val="32"/>
          <w:lang w:eastAsia="zh-CN"/>
        </w:rPr>
        <w:t>(三)在相关政策扶持、政府采购、公益推介宣传等方  面优先；对连续两年以上优秀的企业，推荐列为信用A+企业，纳入龙亭区农产品质量安全信用红名单。</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pPr>
      <w:r>
        <w:rPr>
          <w:rFonts w:hint="eastAsia" w:ascii="仿宋" w:hAnsi="仿宋" w:eastAsia="仿宋" w:cs="仿宋"/>
          <w:b/>
          <w:bCs/>
          <w:spacing w:val="9"/>
          <w:sz w:val="32"/>
          <w:szCs w:val="32"/>
          <w:lang w:eastAsia="zh-CN"/>
        </w:rPr>
        <w:t>第二十四条</w:t>
      </w:r>
      <w:r>
        <w:rPr>
          <w:rFonts w:hint="eastAsia" w:ascii="仿宋" w:hAnsi="仿宋" w:eastAsia="仿宋" w:cs="仿宋"/>
          <w:spacing w:val="9"/>
          <w:sz w:val="32"/>
          <w:szCs w:val="32"/>
          <w:lang w:val="en-US" w:eastAsia="zh-CN"/>
        </w:rPr>
        <w:t xml:space="preserve"> </w:t>
      </w:r>
      <w:r>
        <w:rPr>
          <w:rFonts w:hint="eastAsia" w:ascii="仿宋" w:hAnsi="仿宋" w:eastAsia="仿宋" w:cs="仿宋"/>
          <w:spacing w:val="9"/>
          <w:sz w:val="32"/>
          <w:szCs w:val="32"/>
          <w:lang w:eastAsia="zh-CN"/>
        </w:rPr>
        <w:t>对分级评价为良好(B级)的饲料兽药农药 生产企业，实施主体自律和监督管理相结合，做好日常监管， 重点开展责令改正回访或案后回查，检查存在问题或轻微违法违规行为的整改情况。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pPr>
      <w:r>
        <w:rPr>
          <w:rFonts w:hint="eastAsia" w:ascii="仿宋" w:hAnsi="仿宋" w:eastAsia="仿宋" w:cs="仿宋"/>
          <w:spacing w:val="9"/>
          <w:sz w:val="32"/>
          <w:szCs w:val="32"/>
          <w:lang w:eastAsia="zh-CN"/>
        </w:rPr>
        <w:t>(一)实行正常监管检查频次；</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pPr>
      <w:r>
        <w:rPr>
          <w:rFonts w:hint="eastAsia" w:ascii="仿宋" w:hAnsi="仿宋" w:eastAsia="仿宋" w:cs="仿宋"/>
          <w:spacing w:val="9"/>
          <w:sz w:val="32"/>
          <w:szCs w:val="32"/>
          <w:lang w:eastAsia="zh-CN"/>
        </w:rPr>
        <w:t>(二)正常进行产品监督抽检；</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pPr>
      <w:r>
        <w:rPr>
          <w:rFonts w:hint="eastAsia" w:ascii="仿宋" w:hAnsi="仿宋" w:eastAsia="仿宋" w:cs="仿宋"/>
          <w:spacing w:val="9"/>
          <w:sz w:val="32"/>
          <w:szCs w:val="32"/>
          <w:lang w:eastAsia="zh-CN"/>
        </w:rPr>
        <w:t>(三)区级每年进行一次随机性联合检查，不再重复安</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textAlignment w:val="baseline"/>
        <w:rPr>
          <w:rFonts w:hint="eastAsia" w:ascii="仿宋" w:hAnsi="仿宋" w:eastAsia="仿宋" w:cs="仿宋"/>
          <w:spacing w:val="9"/>
          <w:sz w:val="32"/>
          <w:szCs w:val="32"/>
          <w:lang w:eastAsia="zh-CN"/>
        </w:rPr>
      </w:pPr>
      <w:r>
        <w:rPr>
          <w:rFonts w:hint="eastAsia" w:ascii="仿宋" w:hAnsi="仿宋" w:eastAsia="仿宋" w:cs="仿宋"/>
          <w:spacing w:val="9"/>
          <w:sz w:val="32"/>
          <w:szCs w:val="32"/>
          <w:lang w:eastAsia="zh-CN"/>
        </w:rPr>
        <w:t>排其他检查。</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pPr>
      <w:r>
        <w:rPr>
          <w:rFonts w:hint="eastAsia" w:ascii="仿宋" w:hAnsi="仿宋" w:eastAsia="仿宋" w:cs="仿宋"/>
          <w:b/>
          <w:bCs/>
          <w:spacing w:val="9"/>
          <w:sz w:val="32"/>
          <w:szCs w:val="32"/>
          <w:lang w:eastAsia="zh-CN"/>
        </w:rPr>
        <w:t>第二十五条</w:t>
      </w:r>
      <w:r>
        <w:rPr>
          <w:rFonts w:hint="eastAsia" w:ascii="仿宋" w:hAnsi="仿宋" w:eastAsia="仿宋" w:cs="仿宋"/>
          <w:spacing w:val="9"/>
          <w:sz w:val="32"/>
          <w:szCs w:val="32"/>
          <w:lang w:val="en-US" w:eastAsia="zh-CN"/>
        </w:rPr>
        <w:t xml:space="preserve"> </w:t>
      </w:r>
      <w:r>
        <w:rPr>
          <w:rFonts w:hint="eastAsia" w:ascii="仿宋" w:hAnsi="仿宋" w:eastAsia="仿宋" w:cs="仿宋"/>
          <w:spacing w:val="9"/>
          <w:sz w:val="32"/>
          <w:szCs w:val="32"/>
          <w:lang w:eastAsia="zh-CN"/>
        </w:rPr>
        <w:t>对分级评价为一般(C级)的饲料兽药农药生产企业，将其列为日常监管重点对象，问题严重的列为重点监控企业或者纳入龙亭区农产品质量安全信用黑名单，采取加大监管力度和检查频次的措施，加大风险防范力度，重点开展案后回查，检查严重违法违规行为的整改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pPr>
      <w:r>
        <w:rPr>
          <w:rFonts w:hint="eastAsia" w:ascii="仿宋" w:hAnsi="仿宋" w:eastAsia="仿宋" w:cs="仿宋"/>
          <w:spacing w:val="9"/>
          <w:sz w:val="32"/>
          <w:szCs w:val="32"/>
          <w:lang w:eastAsia="zh-CN"/>
        </w:rPr>
        <w:t>(一)加大监督检查力度，定期或者不定期进行责任约</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sectPr>
          <w:pgSz w:w="11900" w:h="16820"/>
          <w:pgMar w:top="1429" w:right="1254" w:bottom="400" w:left="1785" w:header="0" w:footer="0"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textAlignment w:val="baseline"/>
        <w:rPr>
          <w:rFonts w:hint="eastAsia" w:ascii="仿宋" w:hAnsi="仿宋" w:eastAsia="仿宋" w:cs="仿宋"/>
          <w:spacing w:val="9"/>
          <w:sz w:val="32"/>
          <w:szCs w:val="32"/>
          <w:lang w:eastAsia="zh-CN"/>
        </w:rPr>
      </w:pPr>
      <w:r>
        <w:rPr>
          <w:rFonts w:hint="eastAsia" w:ascii="仿宋" w:hAnsi="仿宋" w:eastAsia="仿宋" w:cs="仿宋"/>
          <w:spacing w:val="9"/>
          <w:sz w:val="32"/>
          <w:szCs w:val="32"/>
          <w:lang w:eastAsia="zh-CN"/>
        </w:rPr>
        <w:t>谈或者突击检查；</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pPr>
      <w:r>
        <w:rPr>
          <w:rFonts w:hint="eastAsia" w:ascii="仿宋" w:hAnsi="仿宋" w:eastAsia="仿宋" w:cs="仿宋"/>
          <w:spacing w:val="9"/>
          <w:sz w:val="32"/>
          <w:szCs w:val="32"/>
          <w:lang w:eastAsia="zh-CN"/>
        </w:rPr>
        <w:t>(二)适度增加产品监督抽样检验批次数量和频次，每半年至少进行一次抽样检验，抽样检验结果及时向社会公开；</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pPr>
      <w:r>
        <w:rPr>
          <w:rFonts w:hint="eastAsia" w:ascii="仿宋" w:hAnsi="仿宋" w:eastAsia="仿宋" w:cs="仿宋"/>
          <w:spacing w:val="9"/>
          <w:sz w:val="32"/>
          <w:szCs w:val="32"/>
          <w:lang w:eastAsia="zh-CN"/>
        </w:rPr>
        <w:t>(三)每年至少对其质量安全管理规范执行情况进行一</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textAlignment w:val="baseline"/>
        <w:rPr>
          <w:rFonts w:hint="eastAsia" w:ascii="仿宋" w:hAnsi="仿宋" w:eastAsia="仿宋" w:cs="仿宋"/>
          <w:spacing w:val="9"/>
          <w:sz w:val="32"/>
          <w:szCs w:val="32"/>
          <w:lang w:eastAsia="zh-CN"/>
        </w:rPr>
      </w:pPr>
      <w:r>
        <w:rPr>
          <w:rFonts w:hint="eastAsia" w:ascii="仿宋" w:hAnsi="仿宋" w:eastAsia="仿宋" w:cs="仿宋"/>
          <w:spacing w:val="9"/>
          <w:sz w:val="32"/>
          <w:szCs w:val="32"/>
          <w:lang w:eastAsia="zh-CN"/>
        </w:rPr>
        <w:t>次全面监督检查，检查结果在网站公开、媒体通报。</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pPr>
      <w:r>
        <w:rPr>
          <w:rFonts w:hint="eastAsia" w:ascii="仿宋" w:hAnsi="仿宋" w:eastAsia="仿宋" w:cs="仿宋"/>
          <w:b/>
          <w:bCs/>
          <w:spacing w:val="9"/>
          <w:sz w:val="32"/>
          <w:szCs w:val="32"/>
          <w:lang w:eastAsia="zh-CN"/>
        </w:rPr>
        <w:t>第二十六条</w:t>
      </w:r>
      <w:r>
        <w:rPr>
          <w:rFonts w:hint="eastAsia" w:ascii="仿宋" w:hAnsi="仿宋" w:eastAsia="仿宋" w:cs="仿宋"/>
          <w:spacing w:val="9"/>
          <w:sz w:val="32"/>
          <w:szCs w:val="32"/>
          <w:lang w:val="en-US" w:eastAsia="zh-CN"/>
        </w:rPr>
        <w:t xml:space="preserve"> </w:t>
      </w:r>
      <w:r>
        <w:rPr>
          <w:rFonts w:hint="eastAsia" w:ascii="仿宋" w:hAnsi="仿宋" w:eastAsia="仿宋" w:cs="仿宋"/>
          <w:spacing w:val="9"/>
          <w:sz w:val="32"/>
          <w:szCs w:val="32"/>
          <w:lang w:eastAsia="zh-CN"/>
        </w:rPr>
        <w:t>各级饲料兽药农药管理人员和其他参与人 员，在组织开展饲料兽药农药生产企业量化分级评级管理工  作中，应当建立书面档案资料和记录，客观公正、廉洁自律、遵守党纪国法，自觉接受社会监督。</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黑体" w:hAnsi="黑体" w:eastAsia="黑体" w:cs="黑体"/>
          <w:spacing w:val="9"/>
          <w:sz w:val="32"/>
          <w:szCs w:val="32"/>
          <w:lang w:eastAsia="zh-CN"/>
        </w:rPr>
      </w:pPr>
      <w:r>
        <w:rPr>
          <w:rFonts w:hint="eastAsia" w:ascii="黑体" w:hAnsi="黑体" w:eastAsia="黑体" w:cs="黑体"/>
          <w:spacing w:val="9"/>
          <w:sz w:val="32"/>
          <w:szCs w:val="32"/>
          <w:lang w:eastAsia="zh-CN"/>
        </w:rPr>
        <w:t>第 六 章 附 则</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pPr>
      <w:r>
        <w:rPr>
          <w:rFonts w:hint="eastAsia" w:ascii="仿宋" w:hAnsi="仿宋" w:eastAsia="仿宋" w:cs="仿宋"/>
          <w:b/>
          <w:bCs/>
          <w:spacing w:val="9"/>
          <w:sz w:val="32"/>
          <w:szCs w:val="32"/>
          <w:lang w:eastAsia="zh-CN"/>
        </w:rPr>
        <w:t>第二十七条</w:t>
      </w:r>
      <w:r>
        <w:rPr>
          <w:rFonts w:hint="eastAsia" w:ascii="仿宋" w:hAnsi="仿宋" w:eastAsia="仿宋" w:cs="仿宋"/>
          <w:spacing w:val="9"/>
          <w:sz w:val="32"/>
          <w:szCs w:val="32"/>
          <w:lang w:val="en-US" w:eastAsia="zh-CN"/>
        </w:rPr>
        <w:t xml:space="preserve"> </w:t>
      </w:r>
      <w:r>
        <w:rPr>
          <w:rFonts w:hint="eastAsia" w:ascii="仿宋" w:hAnsi="仿宋" w:eastAsia="仿宋" w:cs="仿宋"/>
          <w:spacing w:val="9"/>
          <w:sz w:val="32"/>
          <w:szCs w:val="32"/>
          <w:lang w:eastAsia="zh-CN"/>
        </w:rPr>
        <w:t>本办法自2020年4月</w:t>
      </w:r>
      <w:r>
        <w:rPr>
          <w:rFonts w:hint="eastAsia" w:ascii="仿宋" w:hAnsi="仿宋" w:eastAsia="仿宋" w:cs="仿宋"/>
          <w:spacing w:val="9"/>
          <w:sz w:val="32"/>
          <w:szCs w:val="32"/>
          <w:lang w:val="en-US" w:eastAsia="zh-CN"/>
        </w:rPr>
        <w:t>15</w:t>
      </w:r>
      <w:r>
        <w:rPr>
          <w:rFonts w:hint="eastAsia" w:ascii="仿宋" w:hAnsi="仿宋" w:eastAsia="仿宋" w:cs="仿宋"/>
          <w:spacing w:val="9"/>
          <w:sz w:val="32"/>
          <w:szCs w:val="32"/>
          <w:lang w:eastAsia="zh-CN"/>
        </w:rPr>
        <w:t>日起施行，有效期</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textAlignment w:val="baseline"/>
        <w:rPr>
          <w:rFonts w:hint="eastAsia" w:ascii="仿宋" w:hAnsi="仿宋" w:eastAsia="仿宋" w:cs="仿宋"/>
          <w:spacing w:val="9"/>
          <w:sz w:val="32"/>
          <w:szCs w:val="32"/>
          <w:lang w:eastAsia="zh-CN"/>
        </w:rPr>
      </w:pPr>
      <w:r>
        <w:rPr>
          <w:rFonts w:hint="eastAsia" w:ascii="仿宋" w:hAnsi="仿宋" w:eastAsia="仿宋" w:cs="仿宋"/>
          <w:spacing w:val="9"/>
          <w:sz w:val="32"/>
          <w:szCs w:val="32"/>
          <w:lang w:eastAsia="zh-CN"/>
        </w:rPr>
        <w:t>至2025年4月</w:t>
      </w:r>
      <w:r>
        <w:rPr>
          <w:rFonts w:hint="eastAsia" w:ascii="仿宋" w:hAnsi="仿宋" w:eastAsia="仿宋" w:cs="仿宋"/>
          <w:spacing w:val="9"/>
          <w:sz w:val="32"/>
          <w:szCs w:val="32"/>
          <w:lang w:val="en-US" w:eastAsia="zh-CN"/>
        </w:rPr>
        <w:t>15</w:t>
      </w:r>
      <w:r>
        <w:rPr>
          <w:rFonts w:hint="eastAsia" w:ascii="仿宋" w:hAnsi="仿宋" w:eastAsia="仿宋" w:cs="仿宋"/>
          <w:spacing w:val="9"/>
          <w:sz w:val="32"/>
          <w:szCs w:val="32"/>
          <w:lang w:eastAsia="zh-CN"/>
        </w:rPr>
        <w:t>日。</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pPr>
      <w:r>
        <w:rPr>
          <w:rFonts w:hint="eastAsia" w:ascii="仿宋" w:hAnsi="仿宋" w:eastAsia="仿宋" w:cs="仿宋"/>
          <w:b/>
          <w:bCs/>
          <w:spacing w:val="9"/>
          <w:sz w:val="32"/>
          <w:szCs w:val="32"/>
          <w:lang w:eastAsia="zh-CN"/>
        </w:rPr>
        <w:t>第二十八条</w:t>
      </w:r>
      <w:r>
        <w:rPr>
          <w:rFonts w:hint="eastAsia" w:ascii="仿宋" w:hAnsi="仿宋" w:eastAsia="仿宋" w:cs="仿宋"/>
          <w:spacing w:val="9"/>
          <w:sz w:val="32"/>
          <w:szCs w:val="32"/>
          <w:lang w:val="en-US" w:eastAsia="zh-CN"/>
        </w:rPr>
        <w:t xml:space="preserve"> </w:t>
      </w:r>
      <w:r>
        <w:rPr>
          <w:rFonts w:hint="eastAsia" w:ascii="仿宋" w:hAnsi="仿宋" w:eastAsia="仿宋" w:cs="仿宋"/>
          <w:spacing w:val="9"/>
          <w:sz w:val="32"/>
          <w:szCs w:val="32"/>
          <w:lang w:eastAsia="zh-CN"/>
        </w:rPr>
        <w:t>本办法由龙亭区农业农村局负责解释。</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76" w:firstLineChars="200"/>
        <w:textAlignment w:val="baseline"/>
        <w:rPr>
          <w:rFonts w:hint="eastAsia" w:ascii="仿宋" w:hAnsi="仿宋" w:eastAsia="仿宋" w:cs="仿宋"/>
          <w:spacing w:val="9"/>
          <w:sz w:val="32"/>
          <w:szCs w:val="32"/>
          <w:lang w:eastAsia="zh-CN"/>
        </w:rPr>
      </w:pPr>
      <w:r>
        <w:rPr>
          <w:rFonts w:hint="eastAsia" w:ascii="仿宋" w:hAnsi="仿宋" w:eastAsia="仿宋" w:cs="仿宋"/>
          <w:spacing w:val="9"/>
          <w:sz w:val="32"/>
          <w:szCs w:val="32"/>
          <w:lang w:eastAsia="zh-CN"/>
        </w:rPr>
        <w:t>附件：龙亭区饲料兽药农药生产企业质量安全信用分级</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textAlignment w:val="baseline"/>
        <w:rPr>
          <w:rFonts w:hint="eastAsia" w:ascii="仿宋" w:hAnsi="仿宋" w:eastAsia="仿宋" w:cs="仿宋"/>
          <w:spacing w:val="9"/>
          <w:sz w:val="32"/>
          <w:szCs w:val="32"/>
          <w:lang w:eastAsia="zh-CN"/>
        </w:rPr>
      </w:pPr>
      <w:r>
        <w:rPr>
          <w:rFonts w:hint="eastAsia" w:ascii="仿宋" w:hAnsi="仿宋" w:eastAsia="仿宋" w:cs="仿宋"/>
          <w:spacing w:val="9"/>
          <w:sz w:val="32"/>
          <w:szCs w:val="32"/>
          <w:lang w:eastAsia="zh-CN"/>
        </w:rPr>
        <w:t>评分细则</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69"/>
        <w:textAlignment w:val="baseline"/>
        <w:rPr>
          <w:rFonts w:hint="eastAsia" w:ascii="仿宋" w:hAnsi="仿宋" w:eastAsia="仿宋" w:cs="仿宋"/>
          <w:spacing w:val="9"/>
          <w:sz w:val="32"/>
          <w:szCs w:val="32"/>
          <w:lang w:eastAsia="zh-CN"/>
        </w:rPr>
        <w:sectPr>
          <w:pgSz w:w="11900" w:h="16820"/>
          <w:pgMar w:top="1429" w:right="1274" w:bottom="400" w:left="1785" w:header="0" w:footer="0" w:gutter="0"/>
          <w:pgNumType w:fmt="decimal"/>
          <w:cols w:space="720" w:num="1"/>
        </w:sectPr>
      </w:pPr>
    </w:p>
    <w:p>
      <w:pPr>
        <w:spacing w:before="330" w:line="219" w:lineRule="auto"/>
        <w:rPr>
          <w:rFonts w:ascii="宋体" w:hAnsi="宋体" w:eastAsia="宋体" w:cs="宋体"/>
          <w:sz w:val="32"/>
          <w:szCs w:val="32"/>
        </w:rPr>
      </w:pPr>
      <w:r>
        <w:rPr>
          <w:rFonts w:ascii="宋体" w:hAnsi="宋体" w:eastAsia="宋体" w:cs="宋体"/>
          <w:spacing w:val="4"/>
          <w:sz w:val="32"/>
          <w:szCs w:val="32"/>
        </w:rPr>
        <w:t>附件：</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1352" w:firstLineChars="400"/>
        <w:jc w:val="both"/>
        <w:textAlignment w:val="baseline"/>
        <w:rPr>
          <w:rFonts w:hint="eastAsia" w:ascii="黑体" w:hAnsi="黑体" w:eastAsia="黑体" w:cs="黑体"/>
          <w:spacing w:val="9"/>
          <w:sz w:val="32"/>
          <w:szCs w:val="32"/>
          <w:lang w:eastAsia="zh-CN"/>
        </w:rPr>
      </w:pPr>
      <w:r>
        <w:rPr>
          <w:rFonts w:hint="eastAsia" w:ascii="黑体" w:hAnsi="黑体" w:eastAsia="黑体" w:cs="黑体"/>
          <w:spacing w:val="9"/>
          <w:sz w:val="32"/>
          <w:szCs w:val="32"/>
          <w:lang w:eastAsia="zh-CN"/>
        </w:rPr>
        <w:t>龙亭区饲料兽药农药生产企业质量安全信用</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3042" w:firstLineChars="900"/>
        <w:jc w:val="both"/>
        <w:textAlignment w:val="baseline"/>
        <w:rPr>
          <w:rFonts w:hint="eastAsia" w:ascii="黑体" w:hAnsi="黑体" w:eastAsia="黑体" w:cs="黑体"/>
          <w:spacing w:val="9"/>
          <w:sz w:val="32"/>
          <w:szCs w:val="32"/>
          <w:lang w:eastAsia="zh-CN"/>
        </w:rPr>
      </w:pPr>
      <w:r>
        <w:rPr>
          <w:rFonts w:hint="eastAsia" w:ascii="黑体" w:hAnsi="黑体" w:eastAsia="黑体" w:cs="黑体"/>
          <w:spacing w:val="9"/>
          <w:sz w:val="32"/>
          <w:szCs w:val="32"/>
          <w:lang w:eastAsia="zh-CN"/>
        </w:rPr>
        <w:t>分级评分细则</w:t>
      </w:r>
    </w:p>
    <w:p>
      <w:pPr>
        <w:spacing w:line="258" w:lineRule="auto"/>
        <w:rPr>
          <w:rFonts w:ascii="Arial"/>
          <w:sz w:val="32"/>
          <w:szCs w:val="32"/>
        </w:rPr>
      </w:pPr>
    </w:p>
    <w:p>
      <w:pPr>
        <w:spacing w:before="94" w:line="218" w:lineRule="auto"/>
        <w:rPr>
          <w:rFonts w:hint="eastAsia" w:ascii="仿宋" w:hAnsi="仿宋" w:eastAsia="仿宋" w:cs="仿宋"/>
          <w:sz w:val="32"/>
          <w:szCs w:val="32"/>
        </w:rPr>
      </w:pPr>
      <w:r>
        <w:rPr>
          <w:rFonts w:hint="eastAsia" w:ascii="仿宋" w:hAnsi="仿宋" w:eastAsia="仿宋" w:cs="仿宋"/>
          <w:spacing w:val="-19"/>
          <w:sz w:val="32"/>
          <w:szCs w:val="32"/>
        </w:rPr>
        <w:t>被</w:t>
      </w:r>
      <w:r>
        <w:rPr>
          <w:rFonts w:hint="eastAsia" w:ascii="仿宋" w:hAnsi="仿宋" w:eastAsia="仿宋" w:cs="仿宋"/>
          <w:spacing w:val="-23"/>
          <w:sz w:val="32"/>
          <w:szCs w:val="32"/>
        </w:rPr>
        <w:t xml:space="preserve"> </w:t>
      </w:r>
      <w:r>
        <w:rPr>
          <w:rFonts w:hint="eastAsia" w:ascii="仿宋" w:hAnsi="仿宋" w:eastAsia="仿宋" w:cs="仿宋"/>
          <w:spacing w:val="-19"/>
          <w:sz w:val="32"/>
          <w:szCs w:val="32"/>
        </w:rPr>
        <w:t>检</w:t>
      </w:r>
      <w:r>
        <w:rPr>
          <w:rFonts w:hint="eastAsia" w:ascii="仿宋" w:hAnsi="仿宋" w:eastAsia="仿宋" w:cs="仿宋"/>
          <w:spacing w:val="-29"/>
          <w:sz w:val="32"/>
          <w:szCs w:val="32"/>
        </w:rPr>
        <w:t xml:space="preserve"> </w:t>
      </w:r>
      <w:r>
        <w:rPr>
          <w:rFonts w:hint="eastAsia" w:ascii="仿宋" w:hAnsi="仿宋" w:eastAsia="仿宋" w:cs="仿宋"/>
          <w:spacing w:val="-19"/>
          <w:sz w:val="32"/>
          <w:szCs w:val="32"/>
        </w:rPr>
        <w:t>查</w:t>
      </w:r>
      <w:r>
        <w:rPr>
          <w:rFonts w:hint="eastAsia" w:ascii="仿宋" w:hAnsi="仿宋" w:eastAsia="仿宋" w:cs="仿宋"/>
          <w:spacing w:val="-27"/>
          <w:sz w:val="32"/>
          <w:szCs w:val="32"/>
        </w:rPr>
        <w:t xml:space="preserve"> </w:t>
      </w:r>
      <w:r>
        <w:rPr>
          <w:rFonts w:hint="eastAsia" w:ascii="仿宋" w:hAnsi="仿宋" w:eastAsia="仿宋" w:cs="仿宋"/>
          <w:spacing w:val="-19"/>
          <w:sz w:val="32"/>
          <w:szCs w:val="32"/>
        </w:rPr>
        <w:t>企</w:t>
      </w:r>
      <w:r>
        <w:rPr>
          <w:rFonts w:hint="eastAsia" w:ascii="仿宋" w:hAnsi="仿宋" w:eastAsia="仿宋" w:cs="仿宋"/>
          <w:spacing w:val="-34"/>
          <w:sz w:val="32"/>
          <w:szCs w:val="32"/>
        </w:rPr>
        <w:t xml:space="preserve"> </w:t>
      </w:r>
      <w:r>
        <w:rPr>
          <w:rFonts w:hint="eastAsia" w:ascii="仿宋" w:hAnsi="仿宋" w:eastAsia="仿宋" w:cs="仿宋"/>
          <w:spacing w:val="-19"/>
          <w:sz w:val="32"/>
          <w:szCs w:val="32"/>
        </w:rPr>
        <w:t>业</w:t>
      </w:r>
      <w:r>
        <w:rPr>
          <w:rFonts w:hint="eastAsia" w:ascii="仿宋" w:hAnsi="仿宋" w:eastAsia="仿宋" w:cs="仿宋"/>
          <w:spacing w:val="-28"/>
          <w:sz w:val="32"/>
          <w:szCs w:val="32"/>
        </w:rPr>
        <w:t xml:space="preserve"> </w:t>
      </w:r>
      <w:r>
        <w:rPr>
          <w:rFonts w:hint="eastAsia" w:ascii="仿宋" w:hAnsi="仿宋" w:eastAsia="仿宋" w:cs="仿宋"/>
          <w:spacing w:val="-19"/>
          <w:sz w:val="32"/>
          <w:szCs w:val="32"/>
        </w:rPr>
        <w:t>名</w:t>
      </w:r>
      <w:r>
        <w:rPr>
          <w:rFonts w:hint="eastAsia" w:ascii="仿宋" w:hAnsi="仿宋" w:eastAsia="仿宋" w:cs="仿宋"/>
          <w:spacing w:val="-34"/>
          <w:sz w:val="32"/>
          <w:szCs w:val="32"/>
        </w:rPr>
        <w:t xml:space="preserve"> </w:t>
      </w:r>
      <w:r>
        <w:rPr>
          <w:rFonts w:hint="eastAsia" w:ascii="仿宋" w:hAnsi="仿宋" w:eastAsia="仿宋" w:cs="仿宋"/>
          <w:spacing w:val="-19"/>
          <w:sz w:val="32"/>
          <w:szCs w:val="32"/>
        </w:rPr>
        <w:t>称</w:t>
      </w:r>
      <w:r>
        <w:rPr>
          <w:rFonts w:hint="eastAsia" w:ascii="仿宋" w:hAnsi="仿宋" w:eastAsia="仿宋" w:cs="仿宋"/>
          <w:spacing w:val="-7"/>
          <w:sz w:val="32"/>
          <w:szCs w:val="32"/>
        </w:rPr>
        <w:t xml:space="preserve"> </w:t>
      </w:r>
      <w:r>
        <w:rPr>
          <w:rFonts w:hint="eastAsia" w:ascii="仿宋" w:hAnsi="仿宋" w:eastAsia="仿宋" w:cs="仿宋"/>
          <w:spacing w:val="-7"/>
          <w:sz w:val="32"/>
          <w:szCs w:val="32"/>
          <w:lang w:eastAsia="zh-CN"/>
        </w:rPr>
        <w:t>：</w:t>
      </w:r>
      <w:r>
        <w:rPr>
          <w:rFonts w:hint="eastAsia" w:ascii="仿宋" w:hAnsi="仿宋" w:eastAsia="仿宋" w:cs="仿宋"/>
          <w:sz w:val="32"/>
          <w:szCs w:val="32"/>
        </w:rPr>
        <w:t xml:space="preserve">              </w:t>
      </w:r>
      <w:r>
        <w:rPr>
          <w:rFonts w:hint="eastAsia" w:ascii="仿宋" w:hAnsi="仿宋" w:eastAsia="仿宋" w:cs="仿宋"/>
          <w:spacing w:val="-19"/>
          <w:sz w:val="32"/>
          <w:szCs w:val="32"/>
        </w:rPr>
        <w:t>评</w:t>
      </w:r>
      <w:r>
        <w:rPr>
          <w:rFonts w:hint="eastAsia" w:ascii="仿宋" w:hAnsi="仿宋" w:eastAsia="仿宋" w:cs="仿宋"/>
          <w:spacing w:val="-20"/>
          <w:sz w:val="32"/>
          <w:szCs w:val="32"/>
        </w:rPr>
        <w:t xml:space="preserve"> </w:t>
      </w:r>
      <w:r>
        <w:rPr>
          <w:rFonts w:hint="eastAsia" w:ascii="仿宋" w:hAnsi="仿宋" w:eastAsia="仿宋" w:cs="仿宋"/>
          <w:spacing w:val="-19"/>
          <w:sz w:val="32"/>
          <w:szCs w:val="32"/>
        </w:rPr>
        <w:t>价</w:t>
      </w:r>
      <w:r>
        <w:rPr>
          <w:rFonts w:hint="eastAsia" w:ascii="仿宋" w:hAnsi="仿宋" w:eastAsia="仿宋" w:cs="仿宋"/>
          <w:spacing w:val="-18"/>
          <w:sz w:val="32"/>
          <w:szCs w:val="32"/>
        </w:rPr>
        <w:t xml:space="preserve"> </w:t>
      </w:r>
      <w:r>
        <w:rPr>
          <w:rFonts w:hint="eastAsia" w:ascii="仿宋" w:hAnsi="仿宋" w:eastAsia="仿宋" w:cs="仿宋"/>
          <w:spacing w:val="-19"/>
          <w:sz w:val="32"/>
          <w:szCs w:val="32"/>
        </w:rPr>
        <w:t>时</w:t>
      </w:r>
      <w:r>
        <w:rPr>
          <w:rFonts w:hint="eastAsia" w:ascii="仿宋" w:hAnsi="仿宋" w:eastAsia="仿宋" w:cs="仿宋"/>
          <w:spacing w:val="-10"/>
          <w:sz w:val="32"/>
          <w:szCs w:val="32"/>
        </w:rPr>
        <w:t xml:space="preserve"> </w:t>
      </w:r>
      <w:r>
        <w:rPr>
          <w:rFonts w:hint="eastAsia" w:ascii="仿宋" w:hAnsi="仿宋" w:eastAsia="仿宋" w:cs="仿宋"/>
          <w:spacing w:val="-19"/>
          <w:sz w:val="32"/>
          <w:szCs w:val="32"/>
        </w:rPr>
        <w:t>间</w:t>
      </w:r>
      <w:r>
        <w:rPr>
          <w:rFonts w:hint="eastAsia" w:ascii="仿宋" w:hAnsi="仿宋" w:eastAsia="仿宋" w:cs="仿宋"/>
          <w:spacing w:val="19"/>
          <w:sz w:val="32"/>
          <w:szCs w:val="32"/>
        </w:rPr>
        <w:t xml:space="preserve"> </w:t>
      </w:r>
      <w:r>
        <w:rPr>
          <w:rFonts w:hint="eastAsia" w:ascii="仿宋" w:hAnsi="仿宋" w:eastAsia="仿宋" w:cs="仿宋"/>
          <w:spacing w:val="-19"/>
          <w:sz w:val="32"/>
          <w:szCs w:val="32"/>
        </w:rPr>
        <w:t>(</w:t>
      </w:r>
      <w:r>
        <w:rPr>
          <w:rFonts w:hint="eastAsia" w:ascii="仿宋" w:hAnsi="仿宋" w:eastAsia="仿宋" w:cs="仿宋"/>
          <w:spacing w:val="-29"/>
          <w:sz w:val="32"/>
          <w:szCs w:val="32"/>
        </w:rPr>
        <w:t xml:space="preserve"> </w:t>
      </w:r>
      <w:r>
        <w:rPr>
          <w:rFonts w:hint="eastAsia" w:ascii="仿宋" w:hAnsi="仿宋" w:eastAsia="仿宋" w:cs="仿宋"/>
          <w:spacing w:val="-19"/>
          <w:sz w:val="32"/>
          <w:szCs w:val="32"/>
        </w:rPr>
        <w:t>编</w:t>
      </w:r>
      <w:r>
        <w:rPr>
          <w:rFonts w:hint="eastAsia" w:ascii="仿宋" w:hAnsi="仿宋" w:eastAsia="仿宋" w:cs="仿宋"/>
          <w:spacing w:val="-25"/>
          <w:sz w:val="32"/>
          <w:szCs w:val="32"/>
        </w:rPr>
        <w:t xml:space="preserve"> </w:t>
      </w:r>
      <w:r>
        <w:rPr>
          <w:rFonts w:hint="eastAsia" w:ascii="仿宋" w:hAnsi="仿宋" w:eastAsia="仿宋" w:cs="仿宋"/>
          <w:spacing w:val="-19"/>
          <w:sz w:val="32"/>
          <w:szCs w:val="32"/>
        </w:rPr>
        <w:t>号</w:t>
      </w:r>
      <w:r>
        <w:rPr>
          <w:rFonts w:hint="eastAsia" w:ascii="仿宋" w:hAnsi="仿宋" w:eastAsia="仿宋" w:cs="仿宋"/>
          <w:spacing w:val="-31"/>
          <w:sz w:val="32"/>
          <w:szCs w:val="32"/>
        </w:rPr>
        <w:t xml:space="preserve"> </w:t>
      </w:r>
      <w:r>
        <w:rPr>
          <w:rFonts w:hint="eastAsia" w:ascii="仿宋" w:hAnsi="仿宋" w:eastAsia="仿宋" w:cs="仿宋"/>
          <w:spacing w:val="-19"/>
          <w:sz w:val="32"/>
          <w:szCs w:val="32"/>
        </w:rPr>
        <w:t>)</w:t>
      </w:r>
      <w:r>
        <w:rPr>
          <w:rFonts w:hint="eastAsia" w:ascii="仿宋" w:hAnsi="仿宋" w:eastAsia="仿宋" w:cs="仿宋"/>
          <w:spacing w:val="11"/>
          <w:sz w:val="32"/>
          <w:szCs w:val="32"/>
        </w:rPr>
        <w:t xml:space="preserve"> </w:t>
      </w:r>
      <w:r>
        <w:rPr>
          <w:rFonts w:hint="eastAsia" w:ascii="仿宋" w:hAnsi="仿宋" w:eastAsia="仿宋" w:cs="仿宋"/>
          <w:spacing w:val="-19"/>
          <w:sz w:val="32"/>
          <w:szCs w:val="32"/>
        </w:rPr>
        <w:t>:</w:t>
      </w:r>
    </w:p>
    <w:p>
      <w:pPr>
        <w:spacing w:before="290" w:line="219" w:lineRule="auto"/>
        <w:rPr>
          <w:rFonts w:hint="eastAsia" w:ascii="仿宋" w:hAnsi="仿宋" w:eastAsia="仿宋" w:cs="仿宋"/>
          <w:spacing w:val="38"/>
          <w:sz w:val="32"/>
          <w:szCs w:val="32"/>
        </w:rPr>
      </w:pPr>
      <w:r>
        <w:rPr>
          <w:rFonts w:hint="eastAsia" w:ascii="仿宋" w:hAnsi="仿宋" w:eastAsia="仿宋" w:cs="仿宋"/>
          <w:sz w:val="32"/>
          <w:szCs w:val="32"/>
        </w:rPr>
        <w:drawing>
          <wp:anchor distT="0" distB="0" distL="0" distR="0" simplePos="0" relativeHeight="251662336" behindDoc="0" locked="0" layoutInCell="1" allowOverlap="1">
            <wp:simplePos x="0" y="0"/>
            <wp:positionH relativeFrom="column">
              <wp:posOffset>73025</wp:posOffset>
            </wp:positionH>
            <wp:positionV relativeFrom="paragraph">
              <wp:posOffset>41910</wp:posOffset>
            </wp:positionV>
            <wp:extent cx="5295900" cy="889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8"/>
                    <a:stretch>
                      <a:fillRect/>
                    </a:stretch>
                  </pic:blipFill>
                  <pic:spPr>
                    <a:xfrm>
                      <a:off x="0" y="0"/>
                      <a:ext cx="5295953" cy="9207"/>
                    </a:xfrm>
                    <a:prstGeom prst="rect">
                      <a:avLst/>
                    </a:prstGeom>
                  </pic:spPr>
                </pic:pic>
              </a:graphicData>
            </a:graphic>
          </wp:anchor>
        </w:drawing>
      </w:r>
      <w:r>
        <w:rPr>
          <w:rFonts w:hint="eastAsia" w:ascii="仿宋" w:hAnsi="仿宋" w:eastAsia="仿宋" w:cs="仿宋"/>
          <w:spacing w:val="-19"/>
          <w:sz w:val="32"/>
          <w:szCs w:val="32"/>
        </w:rPr>
        <w:t xml:space="preserve">法定代表人(负责人): </w:t>
      </w:r>
      <w:r>
        <w:rPr>
          <w:rFonts w:hint="eastAsia" w:ascii="仿宋" w:hAnsi="仿宋" w:eastAsia="仿宋" w:cs="仿宋"/>
          <w:spacing w:val="2"/>
          <w:sz w:val="32"/>
          <w:szCs w:val="32"/>
        </w:rPr>
        <w:t xml:space="preserve">                 </w:t>
      </w:r>
      <w:r>
        <w:rPr>
          <w:rFonts w:hint="eastAsia" w:ascii="仿宋" w:hAnsi="仿宋" w:eastAsia="仿宋" w:cs="仿宋"/>
          <w:spacing w:val="38"/>
          <w:sz w:val="32"/>
          <w:szCs w:val="32"/>
        </w:rPr>
        <w:t>电话：</w:t>
      </w:r>
    </w:p>
    <w:p>
      <w:pPr>
        <w:spacing w:before="290" w:line="219" w:lineRule="auto"/>
        <w:rPr>
          <w:rFonts w:hint="eastAsia" w:ascii="仿宋" w:hAnsi="仿宋" w:eastAsia="仿宋" w:cs="仿宋"/>
          <w:sz w:val="32"/>
          <w:szCs w:val="32"/>
          <w:lang w:eastAsia="zh-CN"/>
        </w:rPr>
      </w:pPr>
      <w:r>
        <w:rPr>
          <w:rFonts w:hint="eastAsia" w:ascii="仿宋" w:hAnsi="仿宋" w:eastAsia="仿宋" w:cs="仿宋"/>
          <w:sz w:val="32"/>
          <w:szCs w:val="32"/>
        </w:rPr>
        <w:drawing>
          <wp:anchor distT="0" distB="0" distL="0" distR="0" simplePos="0" relativeHeight="251661312" behindDoc="0" locked="0" layoutInCell="0" allowOverlap="1">
            <wp:simplePos x="0" y="0"/>
            <wp:positionH relativeFrom="page">
              <wp:posOffset>1122680</wp:posOffset>
            </wp:positionH>
            <wp:positionV relativeFrom="page">
              <wp:posOffset>3124835</wp:posOffset>
            </wp:positionV>
            <wp:extent cx="5289550" cy="6350"/>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9"/>
                    <a:stretch>
                      <a:fillRect/>
                    </a:stretch>
                  </pic:blipFill>
                  <pic:spPr>
                    <a:xfrm>
                      <a:off x="0" y="0"/>
                      <a:ext cx="5289550" cy="6350"/>
                    </a:xfrm>
                    <a:prstGeom prst="rect">
                      <a:avLst/>
                    </a:prstGeom>
                  </pic:spPr>
                </pic:pic>
              </a:graphicData>
            </a:graphic>
          </wp:anchor>
        </w:drawing>
      </w:r>
      <w:r>
        <w:rPr>
          <w:rFonts w:hint="eastAsia" w:ascii="仿宋" w:hAnsi="仿宋" w:eastAsia="仿宋" w:cs="仿宋"/>
          <w:spacing w:val="-6"/>
          <w:sz w:val="32"/>
          <w:szCs w:val="32"/>
        </w:rPr>
        <w:t>生产许可证号：</w:t>
      </w:r>
      <w:r>
        <w:rPr>
          <w:rFonts w:hint="eastAsia" w:ascii="仿宋" w:hAnsi="仿宋" w:eastAsia="仿宋" w:cs="仿宋"/>
          <w:spacing w:val="5"/>
          <w:sz w:val="32"/>
          <w:szCs w:val="32"/>
        </w:rPr>
        <w:t xml:space="preserve">                    </w:t>
      </w:r>
      <w:r>
        <w:rPr>
          <w:rFonts w:hint="eastAsia" w:ascii="仿宋" w:hAnsi="仿宋" w:eastAsia="仿宋" w:cs="仿宋"/>
          <w:spacing w:val="-6"/>
          <w:sz w:val="32"/>
          <w:szCs w:val="32"/>
        </w:rPr>
        <w:t>地</w:t>
      </w:r>
      <w:r>
        <w:rPr>
          <w:rFonts w:hint="eastAsia" w:ascii="仿宋" w:hAnsi="仿宋" w:eastAsia="仿宋" w:cs="仿宋"/>
          <w:spacing w:val="-19"/>
          <w:sz w:val="32"/>
          <w:szCs w:val="32"/>
        </w:rPr>
        <w:t xml:space="preserve"> </w:t>
      </w:r>
      <w:r>
        <w:rPr>
          <w:rFonts w:hint="eastAsia" w:ascii="仿宋" w:hAnsi="仿宋" w:eastAsia="仿宋" w:cs="仿宋"/>
          <w:spacing w:val="-6"/>
          <w:sz w:val="32"/>
          <w:szCs w:val="32"/>
        </w:rPr>
        <w:t>址</w:t>
      </w:r>
      <w:r>
        <w:rPr>
          <w:rFonts w:hint="eastAsia" w:ascii="仿宋" w:hAnsi="仿宋" w:eastAsia="仿宋" w:cs="仿宋"/>
          <w:spacing w:val="-35"/>
          <w:sz w:val="32"/>
          <w:szCs w:val="32"/>
        </w:rPr>
        <w:t xml:space="preserve"> </w:t>
      </w:r>
      <w:r>
        <w:rPr>
          <w:rFonts w:hint="eastAsia" w:ascii="仿宋" w:hAnsi="仿宋" w:eastAsia="仿宋" w:cs="仿宋"/>
          <w:spacing w:val="-6"/>
          <w:sz w:val="32"/>
          <w:szCs w:val="32"/>
          <w:lang w:eastAsia="zh-CN"/>
        </w:rPr>
        <w:t>：</w:t>
      </w:r>
    </w:p>
    <w:p>
      <w:pPr>
        <w:spacing w:line="88" w:lineRule="exact"/>
        <w:rPr>
          <w:sz w:val="32"/>
          <w:szCs w:val="32"/>
        </w:rPr>
      </w:pPr>
    </w:p>
    <w:tbl>
      <w:tblPr>
        <w:tblStyle w:val="6"/>
        <w:tblW w:w="9000" w:type="dxa"/>
        <w:tblInd w:w="-1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4619"/>
        <w:gridCol w:w="699"/>
        <w:gridCol w:w="2058"/>
        <w:gridCol w:w="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trPr>
        <w:tc>
          <w:tcPr>
            <w:tcW w:w="960" w:type="dxa"/>
            <w:vAlign w:val="center"/>
          </w:tcPr>
          <w:p>
            <w:pPr>
              <w:spacing w:before="104" w:line="220" w:lineRule="auto"/>
              <w:ind w:left="135"/>
              <w:jc w:val="center"/>
              <w:rPr>
                <w:rFonts w:hint="eastAsia" w:ascii="仿宋" w:hAnsi="仿宋" w:eastAsia="仿宋" w:cs="仿宋"/>
                <w:b/>
                <w:bCs/>
                <w:sz w:val="32"/>
                <w:szCs w:val="32"/>
              </w:rPr>
            </w:pPr>
            <w:r>
              <w:rPr>
                <w:rFonts w:hint="eastAsia" w:ascii="仿宋" w:hAnsi="仿宋" w:eastAsia="仿宋" w:cs="仿宋"/>
                <w:b/>
                <w:bCs/>
                <w:spacing w:val="-9"/>
                <w:sz w:val="32"/>
                <w:szCs w:val="32"/>
              </w:rPr>
              <w:t>项</w:t>
            </w:r>
            <w:r>
              <w:rPr>
                <w:rFonts w:hint="eastAsia" w:ascii="仿宋" w:hAnsi="仿宋" w:eastAsia="仿宋" w:cs="仿宋"/>
                <w:b/>
                <w:bCs/>
                <w:spacing w:val="-8"/>
                <w:sz w:val="32"/>
                <w:szCs w:val="32"/>
              </w:rPr>
              <w:t xml:space="preserve"> </w:t>
            </w:r>
            <w:r>
              <w:rPr>
                <w:rFonts w:hint="eastAsia" w:ascii="仿宋" w:hAnsi="仿宋" w:eastAsia="仿宋" w:cs="仿宋"/>
                <w:b/>
                <w:bCs/>
                <w:spacing w:val="-9"/>
                <w:sz w:val="32"/>
                <w:szCs w:val="32"/>
              </w:rPr>
              <w:t>目</w:t>
            </w:r>
          </w:p>
        </w:tc>
        <w:tc>
          <w:tcPr>
            <w:tcW w:w="4619" w:type="dxa"/>
            <w:vAlign w:val="center"/>
          </w:tcPr>
          <w:p>
            <w:pPr>
              <w:spacing w:before="104" w:line="218" w:lineRule="auto"/>
              <w:ind w:firstLine="1397" w:firstLineChars="400"/>
              <w:jc w:val="both"/>
              <w:rPr>
                <w:rFonts w:hint="eastAsia" w:ascii="仿宋" w:hAnsi="仿宋" w:eastAsia="仿宋" w:cs="仿宋"/>
                <w:b/>
                <w:bCs/>
                <w:sz w:val="32"/>
                <w:szCs w:val="32"/>
              </w:rPr>
            </w:pPr>
            <w:r>
              <w:rPr>
                <w:rFonts w:hint="eastAsia" w:ascii="仿宋" w:hAnsi="仿宋" w:eastAsia="仿宋" w:cs="仿宋"/>
                <w:b/>
                <w:bCs/>
                <w:spacing w:val="14"/>
                <w:sz w:val="32"/>
                <w:szCs w:val="32"/>
              </w:rPr>
              <w:t>评价内容</w:t>
            </w:r>
          </w:p>
        </w:tc>
        <w:tc>
          <w:tcPr>
            <w:tcW w:w="699" w:type="dxa"/>
            <w:vAlign w:val="center"/>
          </w:tcPr>
          <w:p>
            <w:pPr>
              <w:spacing w:before="293" w:line="216" w:lineRule="auto"/>
              <w:ind w:left="96"/>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分值</w:t>
            </w:r>
          </w:p>
        </w:tc>
        <w:tc>
          <w:tcPr>
            <w:tcW w:w="2058" w:type="dxa"/>
            <w:vAlign w:val="center"/>
          </w:tcPr>
          <w:p>
            <w:pPr>
              <w:spacing w:before="293" w:line="216" w:lineRule="auto"/>
              <w:ind w:left="96"/>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打分标准</w:t>
            </w:r>
          </w:p>
        </w:tc>
        <w:tc>
          <w:tcPr>
            <w:tcW w:w="664" w:type="dxa"/>
            <w:textDirection w:val="tbRlV"/>
            <w:vAlign w:val="center"/>
          </w:tcPr>
          <w:p>
            <w:pPr>
              <w:spacing w:before="293" w:line="216" w:lineRule="auto"/>
              <w:ind w:left="96"/>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9" w:hRule="atLeast"/>
        </w:trPr>
        <w:tc>
          <w:tcPr>
            <w:tcW w:w="960" w:type="dxa"/>
            <w:vMerge w:val="restart"/>
            <w:tcBorders>
              <w:bottom w:val="nil"/>
            </w:tcBorders>
            <w:vAlign w:val="top"/>
          </w:tcPr>
          <w:p>
            <w:pPr>
              <w:spacing w:line="249" w:lineRule="auto"/>
              <w:rPr>
                <w:rFonts w:ascii="Arial"/>
                <w:sz w:val="32"/>
                <w:szCs w:val="32"/>
              </w:rPr>
            </w:pPr>
          </w:p>
          <w:p>
            <w:pPr>
              <w:spacing w:line="249" w:lineRule="auto"/>
              <w:rPr>
                <w:rFonts w:ascii="Arial"/>
                <w:sz w:val="32"/>
                <w:szCs w:val="32"/>
              </w:rPr>
            </w:pPr>
          </w:p>
          <w:p>
            <w:pPr>
              <w:spacing w:line="250" w:lineRule="auto"/>
              <w:rPr>
                <w:rFonts w:ascii="Arial"/>
                <w:sz w:val="32"/>
                <w:szCs w:val="32"/>
              </w:rPr>
            </w:pPr>
          </w:p>
          <w:p>
            <w:pPr>
              <w:spacing w:line="250" w:lineRule="auto"/>
              <w:rPr>
                <w:rFonts w:ascii="Arial"/>
                <w:sz w:val="32"/>
                <w:szCs w:val="32"/>
              </w:rPr>
            </w:pPr>
          </w:p>
          <w:p>
            <w:pPr>
              <w:spacing w:line="250" w:lineRule="auto"/>
              <w:rPr>
                <w:rFonts w:ascii="Arial"/>
                <w:sz w:val="32"/>
                <w:szCs w:val="32"/>
              </w:rPr>
            </w:pPr>
          </w:p>
          <w:p>
            <w:pPr>
              <w:spacing w:line="250" w:lineRule="auto"/>
              <w:rPr>
                <w:rFonts w:ascii="Arial"/>
                <w:sz w:val="32"/>
                <w:szCs w:val="32"/>
              </w:rPr>
            </w:pPr>
          </w:p>
          <w:p>
            <w:pPr>
              <w:spacing w:line="250" w:lineRule="auto"/>
              <w:rPr>
                <w:rFonts w:ascii="Arial"/>
                <w:sz w:val="32"/>
                <w:szCs w:val="32"/>
              </w:rPr>
            </w:pPr>
          </w:p>
          <w:p>
            <w:pPr>
              <w:spacing w:before="104" w:line="600" w:lineRule="exact"/>
              <w:ind w:left="135"/>
              <w:rPr>
                <w:rFonts w:ascii="宋体" w:hAnsi="宋体" w:eastAsia="宋体" w:cs="宋体"/>
                <w:sz w:val="32"/>
                <w:szCs w:val="32"/>
              </w:rPr>
            </w:pPr>
            <w:r>
              <w:rPr>
                <w:rFonts w:ascii="宋体" w:hAnsi="宋体" w:eastAsia="宋体" w:cs="宋体"/>
                <w:spacing w:val="8"/>
                <w:position w:val="20"/>
                <w:sz w:val="32"/>
                <w:szCs w:val="32"/>
              </w:rPr>
              <w:t>基础</w:t>
            </w:r>
          </w:p>
          <w:p>
            <w:pPr>
              <w:spacing w:line="219" w:lineRule="auto"/>
              <w:ind w:left="135"/>
              <w:rPr>
                <w:rFonts w:ascii="宋体" w:hAnsi="宋体" w:eastAsia="宋体" w:cs="宋体"/>
                <w:sz w:val="32"/>
                <w:szCs w:val="32"/>
              </w:rPr>
            </w:pPr>
            <w:r>
              <w:rPr>
                <w:rFonts w:ascii="宋体" w:hAnsi="宋体" w:eastAsia="宋体" w:cs="宋体"/>
                <w:spacing w:val="6"/>
                <w:sz w:val="32"/>
                <w:szCs w:val="32"/>
              </w:rPr>
              <w:t>分值</w:t>
            </w:r>
          </w:p>
        </w:tc>
        <w:tc>
          <w:tcPr>
            <w:tcW w:w="4619" w:type="dxa"/>
            <w:vAlign w:val="top"/>
          </w:tcPr>
          <w:p>
            <w:pPr>
              <w:keepNext w:val="0"/>
              <w:keepLines w:val="0"/>
              <w:pageBreakBefore w:val="0"/>
              <w:widowControl/>
              <w:kinsoku w:val="0"/>
              <w:wordWrap/>
              <w:overflowPunct/>
              <w:topLinePunct w:val="0"/>
              <w:autoSpaceDE w:val="0"/>
              <w:autoSpaceDN w:val="0"/>
              <w:bidi w:val="0"/>
              <w:adjustRightInd w:val="0"/>
              <w:snapToGrid w:val="0"/>
              <w:spacing w:before="189" w:line="500" w:lineRule="exact"/>
              <w:ind w:left="91" w:right="108"/>
              <w:jc w:val="both"/>
              <w:textAlignment w:val="baseline"/>
              <w:rPr>
                <w:rFonts w:ascii="宋体" w:hAnsi="宋体" w:eastAsia="宋体" w:cs="宋体"/>
                <w:sz w:val="32"/>
                <w:szCs w:val="32"/>
              </w:rPr>
            </w:pPr>
            <w:r>
              <w:rPr>
                <w:rFonts w:hint="eastAsia" w:ascii="仿宋" w:hAnsi="仿宋" w:eastAsia="仿宋" w:cs="仿宋"/>
                <w:spacing w:val="5"/>
                <w:sz w:val="32"/>
                <w:szCs w:val="32"/>
              </w:rPr>
              <w:t>1.厂房、仓库、检验室、工</w:t>
            </w:r>
            <w:r>
              <w:rPr>
                <w:rFonts w:hint="eastAsia" w:ascii="仿宋" w:hAnsi="仿宋" w:eastAsia="仿宋" w:cs="仿宋"/>
                <w:spacing w:val="11"/>
                <w:sz w:val="32"/>
                <w:szCs w:val="32"/>
              </w:rPr>
              <w:t xml:space="preserve"> </w:t>
            </w:r>
            <w:r>
              <w:rPr>
                <w:rFonts w:hint="eastAsia" w:ascii="仿宋" w:hAnsi="仿宋" w:eastAsia="仿宋" w:cs="仿宋"/>
                <w:spacing w:val="1"/>
                <w:sz w:val="32"/>
                <w:szCs w:val="32"/>
              </w:rPr>
              <w:t>具、生产设备、检验仪器等</w:t>
            </w:r>
            <w:r>
              <w:rPr>
                <w:rFonts w:hint="eastAsia" w:ascii="仿宋" w:hAnsi="仿宋" w:eastAsia="仿宋" w:cs="仿宋"/>
                <w:spacing w:val="2"/>
                <w:sz w:val="32"/>
                <w:szCs w:val="32"/>
              </w:rPr>
              <w:t xml:space="preserve"> </w:t>
            </w:r>
            <w:r>
              <w:rPr>
                <w:rFonts w:hint="eastAsia" w:ascii="仿宋" w:hAnsi="仿宋" w:eastAsia="仿宋" w:cs="仿宋"/>
                <w:spacing w:val="32"/>
                <w:sz w:val="32"/>
                <w:szCs w:val="32"/>
              </w:rPr>
              <w:t>安全生产相关设施是否完</w:t>
            </w:r>
            <w:r>
              <w:rPr>
                <w:rFonts w:hint="eastAsia" w:ascii="仿宋" w:hAnsi="仿宋" w:eastAsia="仿宋" w:cs="仿宋"/>
                <w:spacing w:val="3"/>
                <w:sz w:val="32"/>
                <w:szCs w:val="32"/>
              </w:rPr>
              <w:t xml:space="preserve"> </w:t>
            </w:r>
            <w:r>
              <w:rPr>
                <w:rFonts w:hint="eastAsia" w:ascii="仿宋" w:hAnsi="仿宋" w:eastAsia="仿宋" w:cs="仿宋"/>
                <w:spacing w:val="5"/>
                <w:sz w:val="32"/>
                <w:szCs w:val="32"/>
              </w:rPr>
              <w:t>好，车间内是否整洁，是否</w:t>
            </w:r>
            <w:r>
              <w:rPr>
                <w:rFonts w:hint="eastAsia" w:ascii="仿宋" w:hAnsi="仿宋" w:eastAsia="仿宋" w:cs="仿宋"/>
                <w:spacing w:val="2"/>
                <w:sz w:val="32"/>
                <w:szCs w:val="32"/>
              </w:rPr>
              <w:t xml:space="preserve"> </w:t>
            </w:r>
            <w:r>
              <w:rPr>
                <w:rFonts w:hint="eastAsia" w:ascii="仿宋" w:hAnsi="仿宋" w:eastAsia="仿宋" w:cs="仿宋"/>
                <w:spacing w:val="3"/>
                <w:sz w:val="32"/>
                <w:szCs w:val="32"/>
              </w:rPr>
              <w:t>按照规定建立齐全的生产管</w:t>
            </w:r>
            <w:r>
              <w:rPr>
                <w:rFonts w:hint="eastAsia" w:ascii="仿宋" w:hAnsi="仿宋" w:eastAsia="仿宋" w:cs="仿宋"/>
                <w:sz w:val="32"/>
                <w:szCs w:val="32"/>
              </w:rPr>
              <w:t xml:space="preserve"> </w:t>
            </w:r>
            <w:r>
              <w:rPr>
                <w:rFonts w:hint="eastAsia" w:ascii="仿宋" w:hAnsi="仿宋" w:eastAsia="仿宋" w:cs="仿宋"/>
                <w:spacing w:val="1"/>
                <w:sz w:val="32"/>
                <w:szCs w:val="32"/>
              </w:rPr>
              <w:t>理文件制度、操作规程、生</w:t>
            </w:r>
            <w:r>
              <w:rPr>
                <w:rFonts w:hint="eastAsia" w:ascii="仿宋" w:hAnsi="仿宋" w:eastAsia="仿宋" w:cs="仿宋"/>
                <w:spacing w:val="2"/>
                <w:sz w:val="32"/>
                <w:szCs w:val="32"/>
              </w:rPr>
              <w:t>产销售记录等</w:t>
            </w:r>
          </w:p>
        </w:tc>
        <w:tc>
          <w:tcPr>
            <w:tcW w:w="699" w:type="dxa"/>
            <w:vAlign w:val="top"/>
          </w:tcPr>
          <w:p>
            <w:pPr>
              <w:keepNext w:val="0"/>
              <w:keepLines w:val="0"/>
              <w:pageBreakBefore w:val="0"/>
              <w:widowControl/>
              <w:kinsoku w:val="0"/>
              <w:wordWrap/>
              <w:overflowPunct/>
              <w:topLinePunct w:val="0"/>
              <w:autoSpaceDE w:val="0"/>
              <w:autoSpaceDN w:val="0"/>
              <w:bidi w:val="0"/>
              <w:adjustRightInd w:val="0"/>
              <w:snapToGrid w:val="0"/>
              <w:spacing w:line="500" w:lineRule="exact"/>
              <w:textAlignment w:val="baseline"/>
              <w:rPr>
                <w:rFonts w:ascii="Arial"/>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00" w:lineRule="exact"/>
              <w:textAlignment w:val="baseline"/>
              <w:rPr>
                <w:rFonts w:ascii="Arial"/>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00" w:lineRule="exact"/>
              <w:textAlignment w:val="baseline"/>
              <w:rPr>
                <w:rFonts w:ascii="Arial"/>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4" w:line="500" w:lineRule="exact"/>
              <w:ind w:left="76"/>
              <w:textAlignment w:val="baseline"/>
              <w:rPr>
                <w:rFonts w:ascii="宋体" w:hAnsi="宋体" w:eastAsia="宋体" w:cs="宋体"/>
                <w:sz w:val="32"/>
                <w:szCs w:val="32"/>
              </w:rPr>
            </w:pPr>
            <w:r>
              <w:rPr>
                <w:rFonts w:ascii="宋体" w:hAnsi="宋体" w:eastAsia="宋体" w:cs="宋体"/>
                <w:spacing w:val="-5"/>
                <w:sz w:val="32"/>
                <w:szCs w:val="32"/>
              </w:rPr>
              <w:t>25</w:t>
            </w:r>
          </w:p>
        </w:tc>
        <w:tc>
          <w:tcPr>
            <w:tcW w:w="2058" w:type="dxa"/>
            <w:vAlign w:val="top"/>
          </w:tcPr>
          <w:p>
            <w:pPr>
              <w:keepNext w:val="0"/>
              <w:keepLines w:val="0"/>
              <w:pageBreakBefore w:val="0"/>
              <w:widowControl/>
              <w:kinsoku w:val="0"/>
              <w:wordWrap/>
              <w:overflowPunct/>
              <w:topLinePunct w:val="0"/>
              <w:autoSpaceDE w:val="0"/>
              <w:autoSpaceDN w:val="0"/>
              <w:bidi w:val="0"/>
              <w:adjustRightInd w:val="0"/>
              <w:snapToGrid w:val="0"/>
              <w:spacing w:before="189" w:line="500" w:lineRule="exact"/>
              <w:ind w:left="91" w:right="108"/>
              <w:jc w:val="both"/>
              <w:textAlignment w:val="baseline"/>
              <w:rPr>
                <w:rFonts w:ascii="宋体" w:hAnsi="宋体" w:eastAsia="宋体" w:cs="宋体"/>
                <w:sz w:val="32"/>
                <w:szCs w:val="32"/>
              </w:rPr>
            </w:pPr>
            <w:r>
              <w:rPr>
                <w:rFonts w:hint="eastAsia" w:ascii="仿宋" w:hAnsi="仿宋" w:eastAsia="仿宋" w:cs="仿宋"/>
                <w:spacing w:val="5"/>
                <w:sz w:val="32"/>
                <w:szCs w:val="32"/>
              </w:rPr>
              <w:t>一个县(市、 区)范围内综  合评价，平衡打分</w:t>
            </w:r>
          </w:p>
        </w:tc>
        <w:tc>
          <w:tcPr>
            <w:tcW w:w="664" w:type="dxa"/>
            <w:vAlign w:val="top"/>
          </w:tcPr>
          <w:p>
            <w:pPr>
              <w:rPr>
                <w:rFonts w:ascii="Arial"/>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7" w:hRule="atLeast"/>
        </w:trPr>
        <w:tc>
          <w:tcPr>
            <w:tcW w:w="960" w:type="dxa"/>
            <w:vMerge w:val="continue"/>
            <w:tcBorders>
              <w:top w:val="nil"/>
            </w:tcBorders>
            <w:vAlign w:val="top"/>
          </w:tcPr>
          <w:p>
            <w:pPr>
              <w:rPr>
                <w:rFonts w:ascii="Arial"/>
                <w:sz w:val="32"/>
                <w:szCs w:val="32"/>
              </w:rPr>
            </w:pPr>
          </w:p>
        </w:tc>
        <w:tc>
          <w:tcPr>
            <w:tcW w:w="4619" w:type="dxa"/>
            <w:vAlign w:val="top"/>
          </w:tcPr>
          <w:p>
            <w:pPr>
              <w:keepNext w:val="0"/>
              <w:keepLines w:val="0"/>
              <w:pageBreakBefore w:val="0"/>
              <w:widowControl/>
              <w:kinsoku w:val="0"/>
              <w:wordWrap/>
              <w:overflowPunct/>
              <w:topLinePunct w:val="0"/>
              <w:autoSpaceDE w:val="0"/>
              <w:autoSpaceDN w:val="0"/>
              <w:bidi w:val="0"/>
              <w:adjustRightInd w:val="0"/>
              <w:snapToGrid w:val="0"/>
              <w:spacing w:line="500" w:lineRule="exact"/>
              <w:textAlignment w:val="baseline"/>
              <w:rPr>
                <w:rFonts w:ascii="Arial"/>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89" w:line="500" w:lineRule="exact"/>
              <w:ind w:left="91" w:right="108"/>
              <w:jc w:val="both"/>
              <w:textAlignment w:val="baseline"/>
              <w:rPr>
                <w:rFonts w:ascii="宋体" w:hAnsi="宋体" w:eastAsia="宋体" w:cs="宋体"/>
                <w:sz w:val="32"/>
                <w:szCs w:val="32"/>
              </w:rPr>
            </w:pPr>
            <w:r>
              <w:rPr>
                <w:rFonts w:hint="eastAsia" w:ascii="仿宋" w:hAnsi="仿宋" w:eastAsia="仿宋" w:cs="仿宋"/>
                <w:spacing w:val="32"/>
                <w:sz w:val="32"/>
                <w:szCs w:val="32"/>
              </w:rPr>
              <w:t>2.行政许可的次数、年限及 车间数量，分级评价标识摆放位置符合要求</w:t>
            </w:r>
          </w:p>
        </w:tc>
        <w:tc>
          <w:tcPr>
            <w:tcW w:w="699" w:type="dxa"/>
            <w:vAlign w:val="top"/>
          </w:tcPr>
          <w:p>
            <w:pPr>
              <w:keepNext w:val="0"/>
              <w:keepLines w:val="0"/>
              <w:pageBreakBefore w:val="0"/>
              <w:widowControl/>
              <w:kinsoku w:val="0"/>
              <w:wordWrap/>
              <w:overflowPunct/>
              <w:topLinePunct w:val="0"/>
              <w:autoSpaceDE w:val="0"/>
              <w:autoSpaceDN w:val="0"/>
              <w:bidi w:val="0"/>
              <w:adjustRightInd w:val="0"/>
              <w:snapToGrid w:val="0"/>
              <w:spacing w:line="500" w:lineRule="exact"/>
              <w:textAlignment w:val="baseline"/>
              <w:rPr>
                <w:rFonts w:ascii="Arial"/>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00" w:lineRule="exact"/>
              <w:textAlignment w:val="baseline"/>
              <w:rPr>
                <w:rFonts w:ascii="Arial"/>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00" w:lineRule="exact"/>
              <w:textAlignment w:val="baseline"/>
              <w:rPr>
                <w:rFonts w:ascii="Arial"/>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4" w:line="500" w:lineRule="exact"/>
              <w:ind w:left="76"/>
              <w:textAlignment w:val="baseline"/>
              <w:rPr>
                <w:rFonts w:ascii="宋体" w:hAnsi="宋体" w:eastAsia="宋体" w:cs="宋体"/>
                <w:sz w:val="32"/>
                <w:szCs w:val="32"/>
              </w:rPr>
            </w:pPr>
            <w:r>
              <w:rPr>
                <w:rFonts w:ascii="宋体" w:hAnsi="宋体" w:eastAsia="宋体" w:cs="宋体"/>
                <w:spacing w:val="-10"/>
                <w:sz w:val="32"/>
                <w:szCs w:val="32"/>
              </w:rPr>
              <w:t>10</w:t>
            </w:r>
          </w:p>
        </w:tc>
        <w:tc>
          <w:tcPr>
            <w:tcW w:w="2058" w:type="dxa"/>
            <w:vAlign w:val="top"/>
          </w:tcPr>
          <w:p>
            <w:pPr>
              <w:keepNext w:val="0"/>
              <w:keepLines w:val="0"/>
              <w:pageBreakBefore w:val="0"/>
              <w:widowControl/>
              <w:kinsoku w:val="0"/>
              <w:wordWrap/>
              <w:overflowPunct/>
              <w:topLinePunct w:val="0"/>
              <w:autoSpaceDE w:val="0"/>
              <w:autoSpaceDN w:val="0"/>
              <w:bidi w:val="0"/>
              <w:adjustRightInd w:val="0"/>
              <w:snapToGrid w:val="0"/>
              <w:spacing w:before="187" w:line="500" w:lineRule="exact"/>
              <w:ind w:left="96" w:right="31"/>
              <w:jc w:val="both"/>
              <w:textAlignment w:val="baseline"/>
              <w:rPr>
                <w:rFonts w:hint="eastAsia" w:ascii="仿宋" w:hAnsi="仿宋" w:eastAsia="仿宋" w:cs="仿宋"/>
                <w:sz w:val="32"/>
                <w:szCs w:val="32"/>
              </w:rPr>
            </w:pPr>
            <w:r>
              <w:rPr>
                <w:rFonts w:hint="eastAsia" w:ascii="仿宋" w:hAnsi="仿宋" w:eastAsia="仿宋" w:cs="仿宋"/>
                <w:spacing w:val="2"/>
                <w:sz w:val="32"/>
                <w:szCs w:val="32"/>
              </w:rPr>
              <w:t>企业正常经</w:t>
            </w:r>
            <w:r>
              <w:rPr>
                <w:rFonts w:hint="eastAsia" w:ascii="仿宋" w:hAnsi="仿宋" w:eastAsia="仿宋" w:cs="仿宋"/>
                <w:sz w:val="32"/>
                <w:szCs w:val="32"/>
              </w:rPr>
              <w:t xml:space="preserve">   </w:t>
            </w:r>
            <w:r>
              <w:rPr>
                <w:rFonts w:hint="eastAsia" w:ascii="仿宋" w:hAnsi="仿宋" w:eastAsia="仿宋" w:cs="仿宋"/>
                <w:spacing w:val="2"/>
                <w:sz w:val="32"/>
                <w:szCs w:val="32"/>
              </w:rPr>
              <w:t>营年限每年</w:t>
            </w:r>
            <w:r>
              <w:rPr>
                <w:rFonts w:hint="eastAsia" w:ascii="仿宋" w:hAnsi="仿宋" w:eastAsia="仿宋" w:cs="仿宋"/>
                <w:sz w:val="32"/>
                <w:szCs w:val="32"/>
              </w:rPr>
              <w:t xml:space="preserve">   </w:t>
            </w:r>
            <w:r>
              <w:rPr>
                <w:rFonts w:hint="eastAsia" w:ascii="仿宋" w:hAnsi="仿宋" w:eastAsia="仿宋" w:cs="仿宋"/>
                <w:spacing w:val="1"/>
                <w:sz w:val="32"/>
                <w:szCs w:val="32"/>
              </w:rPr>
              <w:t>0.5分，验收</w:t>
            </w:r>
            <w:r>
              <w:rPr>
                <w:rFonts w:hint="eastAsia" w:ascii="仿宋" w:hAnsi="仿宋" w:eastAsia="仿宋" w:cs="仿宋"/>
                <w:spacing w:val="2"/>
                <w:sz w:val="32"/>
                <w:szCs w:val="32"/>
              </w:rPr>
              <w:t xml:space="preserve">  </w:t>
            </w:r>
            <w:r>
              <w:rPr>
                <w:rFonts w:hint="eastAsia" w:ascii="仿宋" w:hAnsi="仿宋" w:eastAsia="仿宋" w:cs="仿宋"/>
                <w:spacing w:val="6"/>
                <w:sz w:val="32"/>
                <w:szCs w:val="32"/>
              </w:rPr>
              <w:t>次数和车间</w:t>
            </w:r>
            <w:r>
              <w:rPr>
                <w:rFonts w:hint="eastAsia" w:ascii="仿宋" w:hAnsi="仿宋" w:eastAsia="仿宋" w:cs="仿宋"/>
                <w:sz w:val="32"/>
                <w:szCs w:val="32"/>
              </w:rPr>
              <w:t xml:space="preserve">  </w:t>
            </w:r>
            <w:r>
              <w:rPr>
                <w:rFonts w:hint="eastAsia" w:ascii="仿宋" w:hAnsi="仿宋" w:eastAsia="仿宋" w:cs="仿宋"/>
                <w:spacing w:val="22"/>
                <w:sz w:val="32"/>
                <w:szCs w:val="32"/>
              </w:rPr>
              <w:t>数量1-3分，</w:t>
            </w:r>
          </w:p>
          <w:p>
            <w:pPr>
              <w:keepNext w:val="0"/>
              <w:keepLines w:val="0"/>
              <w:pageBreakBefore w:val="0"/>
              <w:widowControl/>
              <w:kinsoku w:val="0"/>
              <w:wordWrap/>
              <w:overflowPunct/>
              <w:topLinePunct w:val="0"/>
              <w:autoSpaceDE w:val="0"/>
              <w:autoSpaceDN w:val="0"/>
              <w:bidi w:val="0"/>
              <w:adjustRightInd w:val="0"/>
              <w:snapToGrid w:val="0"/>
              <w:spacing w:line="500" w:lineRule="exact"/>
              <w:ind w:left="96"/>
              <w:textAlignment w:val="baseline"/>
              <w:rPr>
                <w:rFonts w:ascii="宋体" w:hAnsi="宋体" w:eastAsia="宋体" w:cs="宋体"/>
                <w:sz w:val="32"/>
                <w:szCs w:val="32"/>
              </w:rPr>
            </w:pPr>
            <w:r>
              <w:rPr>
                <w:rFonts w:hint="eastAsia" w:ascii="仿宋" w:hAnsi="仿宋" w:eastAsia="仿宋" w:cs="仿宋"/>
                <w:spacing w:val="2"/>
                <w:sz w:val="32"/>
                <w:szCs w:val="32"/>
              </w:rPr>
              <w:t>最高10分</w:t>
            </w:r>
          </w:p>
        </w:tc>
        <w:tc>
          <w:tcPr>
            <w:tcW w:w="664" w:type="dxa"/>
            <w:vAlign w:val="top"/>
          </w:tcPr>
          <w:p>
            <w:pPr>
              <w:rPr>
                <w:rFonts w:ascii="Arial"/>
                <w:sz w:val="32"/>
                <w:szCs w:val="32"/>
              </w:rPr>
            </w:pPr>
          </w:p>
        </w:tc>
      </w:tr>
    </w:tbl>
    <w:p>
      <w:pPr>
        <w:rPr>
          <w:rFonts w:ascii="Arial"/>
          <w:sz w:val="32"/>
          <w:szCs w:val="32"/>
        </w:rPr>
      </w:pPr>
    </w:p>
    <w:p>
      <w:pPr>
        <w:rPr>
          <w:sz w:val="32"/>
          <w:szCs w:val="32"/>
        </w:rPr>
        <w:sectPr>
          <w:pgSz w:w="11900" w:h="16820"/>
          <w:pgMar w:top="1429" w:right="1244" w:bottom="400" w:left="1785" w:header="0" w:footer="0" w:gutter="0"/>
          <w:pgNumType w:fmt="decimal"/>
          <w:cols w:space="720" w:num="1"/>
        </w:sectPr>
      </w:pPr>
    </w:p>
    <w:p>
      <w:pPr>
        <w:spacing w:line="65" w:lineRule="exact"/>
        <w:rPr>
          <w:sz w:val="32"/>
          <w:szCs w:val="32"/>
        </w:rPr>
      </w:pPr>
    </w:p>
    <w:tbl>
      <w:tblPr>
        <w:tblStyle w:val="6"/>
        <w:tblW w:w="9064" w:type="dxa"/>
        <w:tblInd w:w="-1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2"/>
        <w:gridCol w:w="4671"/>
        <w:gridCol w:w="699"/>
        <w:gridCol w:w="2058"/>
        <w:gridCol w:w="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9" w:hRule="atLeast"/>
        </w:trPr>
        <w:tc>
          <w:tcPr>
            <w:tcW w:w="972" w:type="dxa"/>
            <w:vMerge w:val="restart"/>
            <w:tcBorders>
              <w:bottom w:val="nil"/>
            </w:tcBorders>
            <w:vAlign w:val="top"/>
          </w:tcPr>
          <w:p>
            <w:pPr>
              <w:spacing w:line="247" w:lineRule="auto"/>
              <w:rPr>
                <w:rFonts w:ascii="Arial"/>
                <w:sz w:val="32"/>
                <w:szCs w:val="32"/>
              </w:rPr>
            </w:pPr>
          </w:p>
          <w:p>
            <w:pPr>
              <w:spacing w:line="248" w:lineRule="auto"/>
              <w:rPr>
                <w:rFonts w:ascii="Arial"/>
                <w:sz w:val="32"/>
                <w:szCs w:val="32"/>
              </w:rPr>
            </w:pPr>
          </w:p>
          <w:p>
            <w:pPr>
              <w:spacing w:line="248" w:lineRule="auto"/>
              <w:rPr>
                <w:rFonts w:ascii="Arial"/>
                <w:sz w:val="32"/>
                <w:szCs w:val="32"/>
              </w:rPr>
            </w:pPr>
          </w:p>
          <w:p>
            <w:pPr>
              <w:spacing w:line="248" w:lineRule="auto"/>
              <w:rPr>
                <w:rFonts w:ascii="Arial"/>
                <w:sz w:val="32"/>
                <w:szCs w:val="32"/>
              </w:rPr>
            </w:pPr>
          </w:p>
          <w:p>
            <w:pPr>
              <w:spacing w:line="248" w:lineRule="auto"/>
              <w:rPr>
                <w:rFonts w:ascii="Arial"/>
                <w:sz w:val="32"/>
                <w:szCs w:val="32"/>
              </w:rPr>
            </w:pPr>
          </w:p>
          <w:p>
            <w:pPr>
              <w:spacing w:line="248" w:lineRule="auto"/>
              <w:rPr>
                <w:rFonts w:ascii="Arial"/>
                <w:sz w:val="32"/>
                <w:szCs w:val="32"/>
              </w:rPr>
            </w:pPr>
          </w:p>
          <w:p>
            <w:pPr>
              <w:spacing w:line="248" w:lineRule="auto"/>
              <w:rPr>
                <w:rFonts w:ascii="Arial"/>
                <w:sz w:val="32"/>
                <w:szCs w:val="32"/>
              </w:rPr>
            </w:pPr>
          </w:p>
          <w:p>
            <w:pPr>
              <w:spacing w:line="248" w:lineRule="auto"/>
              <w:rPr>
                <w:rFonts w:ascii="Arial"/>
                <w:sz w:val="32"/>
                <w:szCs w:val="32"/>
              </w:rPr>
            </w:pPr>
          </w:p>
          <w:p>
            <w:pPr>
              <w:spacing w:line="248" w:lineRule="auto"/>
              <w:rPr>
                <w:rFonts w:ascii="Arial"/>
                <w:sz w:val="32"/>
                <w:szCs w:val="32"/>
              </w:rPr>
            </w:pPr>
          </w:p>
          <w:p>
            <w:pPr>
              <w:spacing w:before="104" w:line="621" w:lineRule="exact"/>
              <w:ind w:left="235"/>
              <w:rPr>
                <w:rFonts w:ascii="宋体" w:hAnsi="宋体" w:eastAsia="宋体" w:cs="宋体"/>
                <w:sz w:val="32"/>
                <w:szCs w:val="32"/>
              </w:rPr>
            </w:pPr>
            <w:r>
              <w:rPr>
                <w:rFonts w:ascii="宋体" w:hAnsi="宋体" w:eastAsia="宋体" w:cs="宋体"/>
                <w:spacing w:val="6"/>
                <w:position w:val="22"/>
                <w:sz w:val="32"/>
                <w:szCs w:val="32"/>
              </w:rPr>
              <w:t>质量</w:t>
            </w:r>
          </w:p>
          <w:p>
            <w:pPr>
              <w:spacing w:before="1" w:line="220" w:lineRule="auto"/>
              <w:ind w:left="235"/>
              <w:rPr>
                <w:rFonts w:ascii="宋体" w:hAnsi="宋体" w:eastAsia="宋体" w:cs="宋体"/>
                <w:sz w:val="32"/>
                <w:szCs w:val="32"/>
              </w:rPr>
            </w:pPr>
            <w:r>
              <w:rPr>
                <w:rFonts w:ascii="宋体" w:hAnsi="宋体" w:eastAsia="宋体" w:cs="宋体"/>
                <w:spacing w:val="7"/>
                <w:sz w:val="32"/>
                <w:szCs w:val="32"/>
              </w:rPr>
              <w:t>安全</w:t>
            </w:r>
          </w:p>
        </w:tc>
        <w:tc>
          <w:tcPr>
            <w:tcW w:w="4671" w:type="dxa"/>
            <w:vAlign w:val="top"/>
          </w:tcPr>
          <w:p>
            <w:pPr>
              <w:keepNext w:val="0"/>
              <w:keepLines w:val="0"/>
              <w:pageBreakBefore w:val="0"/>
              <w:widowControl/>
              <w:kinsoku w:val="0"/>
              <w:wordWrap/>
              <w:overflowPunct/>
              <w:topLinePunct w:val="0"/>
              <w:autoSpaceDE w:val="0"/>
              <w:autoSpaceDN w:val="0"/>
              <w:bidi w:val="0"/>
              <w:adjustRightInd w:val="0"/>
              <w:snapToGrid w:val="0"/>
              <w:spacing w:before="166" w:line="560" w:lineRule="exact"/>
              <w:ind w:left="91"/>
              <w:textAlignment w:val="baseline"/>
              <w:rPr>
                <w:rFonts w:ascii="宋体" w:hAnsi="宋体" w:eastAsia="宋体" w:cs="宋体"/>
                <w:sz w:val="32"/>
                <w:szCs w:val="32"/>
              </w:rPr>
            </w:pPr>
            <w:r>
              <w:rPr>
                <w:rFonts w:hint="eastAsia" w:ascii="仿宋" w:hAnsi="仿宋" w:eastAsia="仿宋" w:cs="仿宋"/>
                <w:spacing w:val="12"/>
                <w:sz w:val="32"/>
                <w:szCs w:val="32"/>
              </w:rPr>
              <w:t>3.企业是否按照《饲料和饲</w:t>
            </w:r>
            <w:r>
              <w:rPr>
                <w:rFonts w:hint="eastAsia" w:ascii="仿宋" w:hAnsi="仿宋" w:eastAsia="仿宋" w:cs="仿宋"/>
                <w:spacing w:val="8"/>
                <w:sz w:val="32"/>
                <w:szCs w:val="32"/>
              </w:rPr>
              <w:t xml:space="preserve"> </w:t>
            </w:r>
            <w:r>
              <w:rPr>
                <w:rFonts w:hint="eastAsia" w:ascii="仿宋" w:hAnsi="仿宋" w:eastAsia="仿宋" w:cs="仿宋"/>
                <w:spacing w:val="-26"/>
                <w:sz w:val="32"/>
                <w:szCs w:val="32"/>
              </w:rPr>
              <w:t>料添加剂管理条例》、</w:t>
            </w:r>
            <w:r>
              <w:rPr>
                <w:rFonts w:hint="eastAsia" w:ascii="仿宋" w:hAnsi="仿宋" w:eastAsia="仿宋" w:cs="仿宋"/>
                <w:spacing w:val="40"/>
                <w:sz w:val="32"/>
                <w:szCs w:val="32"/>
              </w:rPr>
              <w:t xml:space="preserve"> </w:t>
            </w:r>
            <w:r>
              <w:rPr>
                <w:rFonts w:hint="eastAsia" w:ascii="仿宋" w:hAnsi="仿宋" w:eastAsia="仿宋" w:cs="仿宋"/>
                <w:spacing w:val="-26"/>
                <w:sz w:val="32"/>
                <w:szCs w:val="32"/>
              </w:rPr>
              <w:t>《饲</w:t>
            </w:r>
            <w:r>
              <w:rPr>
                <w:rFonts w:hint="eastAsia" w:ascii="仿宋" w:hAnsi="仿宋" w:eastAsia="仿宋" w:cs="仿宋"/>
                <w:spacing w:val="1"/>
                <w:sz w:val="32"/>
                <w:szCs w:val="32"/>
              </w:rPr>
              <w:t xml:space="preserve"> </w:t>
            </w:r>
            <w:r>
              <w:rPr>
                <w:rFonts w:hint="eastAsia" w:ascii="仿宋" w:hAnsi="仿宋" w:eastAsia="仿宋" w:cs="仿宋"/>
                <w:spacing w:val="-2"/>
                <w:sz w:val="32"/>
                <w:szCs w:val="32"/>
              </w:rPr>
              <w:t>料质量安全管理规范》、《兽</w:t>
            </w:r>
            <w:r>
              <w:rPr>
                <w:rFonts w:hint="eastAsia" w:ascii="仿宋" w:hAnsi="仿宋" w:eastAsia="仿宋" w:cs="仿宋"/>
                <w:spacing w:val="4"/>
                <w:sz w:val="32"/>
                <w:szCs w:val="32"/>
              </w:rPr>
              <w:t xml:space="preserve"> </w:t>
            </w:r>
            <w:r>
              <w:rPr>
                <w:rFonts w:hint="eastAsia" w:ascii="仿宋" w:hAnsi="仿宋" w:eastAsia="仿宋" w:cs="仿宋"/>
                <w:spacing w:val="-2"/>
                <w:sz w:val="32"/>
                <w:szCs w:val="32"/>
              </w:rPr>
              <w:t>药生产质量管理规范》、《农</w:t>
            </w:r>
            <w:r>
              <w:rPr>
                <w:rFonts w:hint="eastAsia" w:ascii="仿宋" w:hAnsi="仿宋" w:eastAsia="仿宋" w:cs="仿宋"/>
                <w:spacing w:val="8"/>
                <w:sz w:val="32"/>
                <w:szCs w:val="32"/>
              </w:rPr>
              <w:t xml:space="preserve"> </w:t>
            </w:r>
            <w:r>
              <w:rPr>
                <w:rFonts w:hint="eastAsia" w:ascii="仿宋" w:hAnsi="仿宋" w:eastAsia="仿宋" w:cs="仿宋"/>
                <w:spacing w:val="10"/>
                <w:sz w:val="32"/>
                <w:szCs w:val="32"/>
              </w:rPr>
              <w:t>药管理条例》组织生产，监督检查未发现问题的次数</w:t>
            </w:r>
          </w:p>
        </w:tc>
        <w:tc>
          <w:tcPr>
            <w:tcW w:w="699" w:type="dxa"/>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86"/>
              <w:textAlignment w:val="baseline"/>
              <w:rPr>
                <w:rFonts w:ascii="宋体" w:hAnsi="宋体" w:eastAsia="宋体" w:cs="宋体"/>
                <w:sz w:val="32"/>
                <w:szCs w:val="32"/>
              </w:rPr>
            </w:pPr>
            <w:r>
              <w:rPr>
                <w:rFonts w:ascii="宋体" w:hAnsi="宋体" w:eastAsia="宋体" w:cs="宋体"/>
                <w:spacing w:val="-10"/>
                <w:sz w:val="32"/>
                <w:szCs w:val="32"/>
              </w:rPr>
              <w:t>15</w:t>
            </w:r>
          </w:p>
        </w:tc>
        <w:tc>
          <w:tcPr>
            <w:tcW w:w="2058" w:type="dxa"/>
            <w:vAlign w:val="top"/>
          </w:tcPr>
          <w:p>
            <w:pPr>
              <w:keepNext w:val="0"/>
              <w:keepLines w:val="0"/>
              <w:pageBreakBefore w:val="0"/>
              <w:widowControl/>
              <w:kinsoku w:val="0"/>
              <w:wordWrap/>
              <w:overflowPunct/>
              <w:topLinePunct w:val="0"/>
              <w:autoSpaceDE w:val="0"/>
              <w:autoSpaceDN w:val="0"/>
              <w:bidi w:val="0"/>
              <w:adjustRightInd w:val="0"/>
              <w:snapToGrid w:val="0"/>
              <w:spacing w:before="147" w:line="560" w:lineRule="exact"/>
              <w:ind w:left="107" w:right="161"/>
              <w:jc w:val="both"/>
              <w:textAlignment w:val="baseline"/>
              <w:rPr>
                <w:rFonts w:ascii="宋体" w:hAnsi="宋体" w:eastAsia="宋体" w:cs="宋体"/>
                <w:sz w:val="32"/>
                <w:szCs w:val="32"/>
              </w:rPr>
            </w:pPr>
            <w:r>
              <w:rPr>
                <w:rFonts w:hint="eastAsia" w:ascii="仿宋" w:hAnsi="仿宋" w:eastAsia="仿宋" w:cs="仿宋"/>
                <w:spacing w:val="2"/>
                <w:sz w:val="32"/>
                <w:szCs w:val="32"/>
              </w:rPr>
              <w:t>每次检查3-5</w:t>
            </w:r>
            <w:r>
              <w:rPr>
                <w:rFonts w:hint="eastAsia" w:ascii="仿宋" w:hAnsi="仿宋" w:eastAsia="仿宋" w:cs="仿宋"/>
                <w:spacing w:val="4"/>
                <w:sz w:val="32"/>
                <w:szCs w:val="32"/>
              </w:rPr>
              <w:t xml:space="preserve"> </w:t>
            </w:r>
            <w:r>
              <w:rPr>
                <w:rFonts w:hint="eastAsia" w:ascii="仿宋" w:hAnsi="仿宋" w:eastAsia="仿宋" w:cs="仿宋"/>
                <w:spacing w:val="3"/>
                <w:sz w:val="32"/>
                <w:szCs w:val="32"/>
              </w:rPr>
              <w:t>分，市部级5</w:t>
            </w:r>
            <w:r>
              <w:rPr>
                <w:rFonts w:hint="eastAsia" w:ascii="仿宋" w:hAnsi="仿宋" w:eastAsia="仿宋" w:cs="仿宋"/>
                <w:spacing w:val="2"/>
                <w:sz w:val="32"/>
                <w:szCs w:val="32"/>
              </w:rPr>
              <w:t>分，其他3分</w:t>
            </w:r>
          </w:p>
        </w:tc>
        <w:tc>
          <w:tcPr>
            <w:tcW w:w="664" w:type="dxa"/>
            <w:vAlign w:val="top"/>
          </w:tcPr>
          <w:p>
            <w:pPr>
              <w:rPr>
                <w:rFonts w:ascii="Arial"/>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8" w:hRule="atLeast"/>
        </w:trPr>
        <w:tc>
          <w:tcPr>
            <w:tcW w:w="972" w:type="dxa"/>
            <w:vMerge w:val="continue"/>
            <w:tcBorders>
              <w:top w:val="nil"/>
            </w:tcBorders>
            <w:vAlign w:val="top"/>
          </w:tcPr>
          <w:p>
            <w:pPr>
              <w:rPr>
                <w:rFonts w:ascii="Arial"/>
                <w:sz w:val="32"/>
                <w:szCs w:val="32"/>
              </w:rPr>
            </w:pPr>
          </w:p>
        </w:tc>
        <w:tc>
          <w:tcPr>
            <w:tcW w:w="4671" w:type="dxa"/>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66" w:line="560" w:lineRule="exact"/>
              <w:ind w:left="91"/>
              <w:textAlignment w:val="baseline"/>
              <w:rPr>
                <w:rFonts w:hint="eastAsia" w:ascii="仿宋" w:hAnsi="仿宋" w:eastAsia="仿宋" w:cs="仿宋"/>
                <w:spacing w:val="-2"/>
                <w:sz w:val="32"/>
                <w:szCs w:val="32"/>
              </w:rPr>
            </w:pPr>
            <w:r>
              <w:rPr>
                <w:rFonts w:hint="eastAsia" w:ascii="仿宋" w:hAnsi="仿宋" w:eastAsia="仿宋" w:cs="仿宋"/>
                <w:spacing w:val="-2"/>
                <w:sz w:val="32"/>
                <w:szCs w:val="32"/>
              </w:rPr>
              <w:t>4.饲料兽药农药产品一年内</w:t>
            </w:r>
          </w:p>
          <w:p>
            <w:pPr>
              <w:keepNext w:val="0"/>
              <w:keepLines w:val="0"/>
              <w:pageBreakBefore w:val="0"/>
              <w:widowControl/>
              <w:kinsoku w:val="0"/>
              <w:wordWrap/>
              <w:overflowPunct/>
              <w:topLinePunct w:val="0"/>
              <w:autoSpaceDE w:val="0"/>
              <w:autoSpaceDN w:val="0"/>
              <w:bidi w:val="0"/>
              <w:adjustRightInd w:val="0"/>
              <w:snapToGrid w:val="0"/>
              <w:spacing w:before="166" w:line="560" w:lineRule="exact"/>
              <w:ind w:left="91"/>
              <w:textAlignment w:val="baseline"/>
              <w:rPr>
                <w:rFonts w:hint="eastAsia" w:ascii="仿宋" w:hAnsi="仿宋" w:eastAsia="仿宋" w:cs="仿宋"/>
                <w:sz w:val="32"/>
                <w:szCs w:val="32"/>
              </w:rPr>
            </w:pPr>
            <w:r>
              <w:rPr>
                <w:rFonts w:hint="eastAsia" w:ascii="仿宋" w:hAnsi="仿宋" w:eastAsia="仿宋" w:cs="仿宋"/>
                <w:spacing w:val="-2"/>
                <w:sz w:val="32"/>
                <w:szCs w:val="32"/>
              </w:rPr>
              <w:t>连续抽检合格的个数</w:t>
            </w:r>
          </w:p>
        </w:tc>
        <w:tc>
          <w:tcPr>
            <w:tcW w:w="699" w:type="dxa"/>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86"/>
              <w:textAlignment w:val="baseline"/>
              <w:rPr>
                <w:rFonts w:ascii="宋体" w:hAnsi="宋体" w:eastAsia="宋体" w:cs="宋体"/>
                <w:sz w:val="32"/>
                <w:szCs w:val="32"/>
              </w:rPr>
            </w:pPr>
            <w:r>
              <w:rPr>
                <w:rFonts w:ascii="宋体" w:hAnsi="宋体" w:eastAsia="宋体" w:cs="宋体"/>
                <w:spacing w:val="-10"/>
                <w:sz w:val="32"/>
                <w:szCs w:val="32"/>
              </w:rPr>
              <w:t>15</w:t>
            </w:r>
          </w:p>
        </w:tc>
        <w:tc>
          <w:tcPr>
            <w:tcW w:w="2058" w:type="dxa"/>
            <w:vAlign w:val="top"/>
          </w:tcPr>
          <w:p>
            <w:pPr>
              <w:keepNext w:val="0"/>
              <w:keepLines w:val="0"/>
              <w:pageBreakBefore w:val="0"/>
              <w:widowControl/>
              <w:kinsoku w:val="0"/>
              <w:wordWrap/>
              <w:overflowPunct/>
              <w:topLinePunct w:val="0"/>
              <w:autoSpaceDE w:val="0"/>
              <w:autoSpaceDN w:val="0"/>
              <w:bidi w:val="0"/>
              <w:adjustRightInd w:val="0"/>
              <w:snapToGrid w:val="0"/>
              <w:spacing w:before="195" w:line="560" w:lineRule="exact"/>
              <w:ind w:left="107" w:right="161"/>
              <w:jc w:val="both"/>
              <w:textAlignment w:val="baseline"/>
              <w:rPr>
                <w:rFonts w:ascii="宋体" w:hAnsi="宋体" w:eastAsia="宋体" w:cs="宋体"/>
                <w:sz w:val="32"/>
                <w:szCs w:val="32"/>
              </w:rPr>
            </w:pPr>
            <w:r>
              <w:rPr>
                <w:rFonts w:hint="eastAsia" w:ascii="仿宋" w:hAnsi="仿宋" w:eastAsia="仿宋" w:cs="仿宋"/>
                <w:spacing w:val="2"/>
                <w:sz w:val="32"/>
                <w:szCs w:val="32"/>
              </w:rPr>
              <w:t>每个批次3-5</w:t>
            </w:r>
            <w:r>
              <w:rPr>
                <w:rFonts w:hint="eastAsia" w:ascii="仿宋" w:hAnsi="仿宋" w:eastAsia="仿宋" w:cs="仿宋"/>
                <w:spacing w:val="4"/>
                <w:sz w:val="32"/>
                <w:szCs w:val="32"/>
              </w:rPr>
              <w:t xml:space="preserve"> </w:t>
            </w:r>
            <w:r>
              <w:rPr>
                <w:rFonts w:hint="eastAsia" w:ascii="仿宋" w:hAnsi="仿宋" w:eastAsia="仿宋" w:cs="仿宋"/>
                <w:spacing w:val="3"/>
                <w:sz w:val="32"/>
                <w:szCs w:val="32"/>
              </w:rPr>
              <w:t>分，市部级5</w:t>
            </w:r>
            <w:r>
              <w:rPr>
                <w:rFonts w:hint="eastAsia" w:ascii="仿宋" w:hAnsi="仿宋" w:eastAsia="仿宋" w:cs="仿宋"/>
                <w:spacing w:val="2"/>
                <w:sz w:val="32"/>
                <w:szCs w:val="32"/>
              </w:rPr>
              <w:t>分，其他3分</w:t>
            </w:r>
          </w:p>
        </w:tc>
        <w:tc>
          <w:tcPr>
            <w:tcW w:w="664" w:type="dxa"/>
            <w:vAlign w:val="top"/>
          </w:tcPr>
          <w:p>
            <w:pPr>
              <w:rPr>
                <w:rFonts w:ascii="Arial"/>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7" w:hRule="atLeast"/>
        </w:trPr>
        <w:tc>
          <w:tcPr>
            <w:tcW w:w="972" w:type="dxa"/>
            <w:vMerge w:val="restart"/>
            <w:tcBorders>
              <w:bottom w:val="nil"/>
            </w:tcBorders>
            <w:vAlign w:val="top"/>
          </w:tcPr>
          <w:p>
            <w:pPr>
              <w:spacing w:line="255" w:lineRule="auto"/>
              <w:rPr>
                <w:rFonts w:ascii="Arial"/>
                <w:sz w:val="32"/>
                <w:szCs w:val="32"/>
              </w:rPr>
            </w:pPr>
          </w:p>
          <w:p>
            <w:pPr>
              <w:spacing w:line="255" w:lineRule="auto"/>
              <w:rPr>
                <w:rFonts w:ascii="Arial"/>
                <w:sz w:val="32"/>
                <w:szCs w:val="32"/>
              </w:rPr>
            </w:pPr>
          </w:p>
          <w:p>
            <w:pPr>
              <w:spacing w:line="255" w:lineRule="auto"/>
              <w:rPr>
                <w:rFonts w:ascii="Arial"/>
                <w:sz w:val="32"/>
                <w:szCs w:val="32"/>
              </w:rPr>
            </w:pPr>
          </w:p>
          <w:p>
            <w:pPr>
              <w:spacing w:line="255" w:lineRule="auto"/>
              <w:rPr>
                <w:rFonts w:ascii="Arial"/>
                <w:sz w:val="32"/>
                <w:szCs w:val="32"/>
              </w:rPr>
            </w:pPr>
          </w:p>
          <w:p>
            <w:pPr>
              <w:spacing w:line="255" w:lineRule="auto"/>
              <w:rPr>
                <w:rFonts w:ascii="Arial"/>
                <w:sz w:val="32"/>
                <w:szCs w:val="32"/>
              </w:rPr>
            </w:pPr>
          </w:p>
          <w:p>
            <w:pPr>
              <w:spacing w:line="255" w:lineRule="auto"/>
              <w:rPr>
                <w:rFonts w:ascii="Arial"/>
                <w:sz w:val="32"/>
                <w:szCs w:val="32"/>
              </w:rPr>
            </w:pPr>
          </w:p>
          <w:p>
            <w:pPr>
              <w:spacing w:line="255" w:lineRule="auto"/>
              <w:rPr>
                <w:rFonts w:ascii="Arial"/>
                <w:sz w:val="32"/>
                <w:szCs w:val="32"/>
              </w:rPr>
            </w:pPr>
          </w:p>
          <w:p>
            <w:pPr>
              <w:spacing w:before="104" w:line="600" w:lineRule="exact"/>
              <w:ind w:left="135"/>
              <w:rPr>
                <w:rFonts w:ascii="宋体" w:hAnsi="宋体" w:eastAsia="宋体" w:cs="宋体"/>
                <w:spacing w:val="8"/>
                <w:position w:val="20"/>
                <w:sz w:val="32"/>
                <w:szCs w:val="32"/>
              </w:rPr>
            </w:pPr>
            <w:r>
              <w:rPr>
                <w:rFonts w:ascii="宋体" w:hAnsi="宋体" w:eastAsia="宋体" w:cs="宋体"/>
                <w:spacing w:val="8"/>
                <w:position w:val="20"/>
                <w:sz w:val="32"/>
                <w:szCs w:val="32"/>
              </w:rPr>
              <w:t>安全</w:t>
            </w:r>
          </w:p>
          <w:p>
            <w:pPr>
              <w:spacing w:before="104" w:line="600" w:lineRule="exact"/>
              <w:ind w:left="135"/>
              <w:rPr>
                <w:rFonts w:ascii="宋体" w:hAnsi="宋体" w:eastAsia="宋体" w:cs="宋体"/>
                <w:spacing w:val="8"/>
                <w:position w:val="20"/>
                <w:sz w:val="32"/>
                <w:szCs w:val="32"/>
              </w:rPr>
            </w:pPr>
            <w:r>
              <w:rPr>
                <w:rFonts w:ascii="宋体" w:hAnsi="宋体" w:eastAsia="宋体" w:cs="宋体"/>
                <w:spacing w:val="8"/>
                <w:position w:val="20"/>
                <w:sz w:val="32"/>
                <w:szCs w:val="32"/>
              </w:rPr>
              <w:t>生产</w:t>
            </w:r>
          </w:p>
          <w:p>
            <w:pPr>
              <w:spacing w:before="104" w:line="600" w:lineRule="exact"/>
              <w:ind w:left="135"/>
              <w:rPr>
                <w:rFonts w:ascii="宋体" w:hAnsi="宋体" w:eastAsia="宋体" w:cs="宋体"/>
                <w:spacing w:val="8"/>
                <w:position w:val="20"/>
                <w:sz w:val="32"/>
                <w:szCs w:val="32"/>
              </w:rPr>
            </w:pPr>
            <w:r>
              <w:rPr>
                <w:rFonts w:ascii="宋体" w:hAnsi="宋体" w:eastAsia="宋体" w:cs="宋体"/>
                <w:spacing w:val="8"/>
                <w:position w:val="20"/>
                <w:sz w:val="32"/>
                <w:szCs w:val="32"/>
              </w:rPr>
              <w:t>和环</w:t>
            </w:r>
          </w:p>
          <w:p>
            <w:pPr>
              <w:spacing w:before="104" w:line="600" w:lineRule="exact"/>
              <w:ind w:left="135"/>
              <w:rPr>
                <w:rFonts w:ascii="宋体" w:hAnsi="宋体" w:eastAsia="宋体" w:cs="宋体"/>
                <w:sz w:val="32"/>
                <w:szCs w:val="32"/>
              </w:rPr>
            </w:pPr>
            <w:r>
              <w:rPr>
                <w:rFonts w:ascii="宋体" w:hAnsi="宋体" w:eastAsia="宋体" w:cs="宋体"/>
                <w:spacing w:val="8"/>
                <w:position w:val="20"/>
                <w:sz w:val="32"/>
                <w:szCs w:val="32"/>
              </w:rPr>
              <w:t>保</w:t>
            </w:r>
          </w:p>
        </w:tc>
        <w:tc>
          <w:tcPr>
            <w:tcW w:w="4671" w:type="dxa"/>
            <w:vAlign w:val="top"/>
          </w:tcPr>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91" w:right="13"/>
              <w:jc w:val="both"/>
              <w:textAlignment w:val="baseline"/>
              <w:rPr>
                <w:rFonts w:hint="eastAsia" w:ascii="仿宋" w:hAnsi="仿宋" w:eastAsia="仿宋" w:cs="仿宋"/>
                <w:sz w:val="32"/>
                <w:szCs w:val="32"/>
              </w:rPr>
            </w:pPr>
            <w:r>
              <w:rPr>
                <w:rFonts w:hint="eastAsia" w:ascii="仿宋" w:hAnsi="仿宋" w:eastAsia="仿宋" w:cs="仿宋"/>
                <w:spacing w:val="4"/>
                <w:sz w:val="32"/>
                <w:szCs w:val="32"/>
              </w:rPr>
              <w:t>5.企业现场操作人员安全生</w:t>
            </w:r>
            <w:r>
              <w:rPr>
                <w:rFonts w:hint="eastAsia" w:ascii="仿宋" w:hAnsi="仿宋" w:eastAsia="仿宋" w:cs="仿宋"/>
                <w:spacing w:val="2"/>
                <w:sz w:val="32"/>
                <w:szCs w:val="32"/>
              </w:rPr>
              <w:t xml:space="preserve"> </w:t>
            </w:r>
            <w:r>
              <w:rPr>
                <w:rFonts w:hint="eastAsia" w:ascii="仿宋" w:hAnsi="仿宋" w:eastAsia="仿宋" w:cs="仿宋"/>
                <w:spacing w:val="4"/>
                <w:sz w:val="32"/>
                <w:szCs w:val="32"/>
              </w:rPr>
              <w:t>产培训、防护服装等是否符</w:t>
            </w:r>
            <w:r>
              <w:rPr>
                <w:rFonts w:hint="eastAsia" w:ascii="仿宋" w:hAnsi="仿宋" w:eastAsia="仿宋" w:cs="仿宋"/>
                <w:spacing w:val="3"/>
                <w:sz w:val="32"/>
                <w:szCs w:val="32"/>
              </w:rPr>
              <w:t xml:space="preserve"> </w:t>
            </w:r>
            <w:r>
              <w:rPr>
                <w:rFonts w:hint="eastAsia" w:ascii="仿宋" w:hAnsi="仿宋" w:eastAsia="仿宋" w:cs="仿宋"/>
                <w:spacing w:val="13"/>
                <w:sz w:val="32"/>
                <w:szCs w:val="32"/>
              </w:rPr>
              <w:t>合要求，厂区内是否清洁、</w:t>
            </w:r>
            <w:r>
              <w:rPr>
                <w:rFonts w:hint="eastAsia" w:ascii="仿宋" w:hAnsi="仿宋" w:eastAsia="仿宋" w:cs="仿宋"/>
                <w:spacing w:val="3"/>
                <w:sz w:val="32"/>
                <w:szCs w:val="32"/>
              </w:rPr>
              <w:t xml:space="preserve"> </w:t>
            </w:r>
            <w:r>
              <w:rPr>
                <w:rFonts w:hint="eastAsia" w:ascii="仿宋" w:hAnsi="仿宋" w:eastAsia="仿宋" w:cs="仿宋"/>
                <w:spacing w:val="13"/>
                <w:sz w:val="32"/>
                <w:szCs w:val="32"/>
              </w:rPr>
              <w:t>绿化，污水、废气、粉尘、</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91"/>
              <w:textAlignment w:val="baseline"/>
              <w:rPr>
                <w:rFonts w:hint="eastAsia" w:ascii="仿宋" w:hAnsi="仿宋" w:eastAsia="仿宋" w:cs="仿宋"/>
                <w:sz w:val="32"/>
                <w:szCs w:val="32"/>
              </w:rPr>
            </w:pPr>
            <w:r>
              <w:rPr>
                <w:rFonts w:hint="eastAsia" w:ascii="仿宋" w:hAnsi="仿宋" w:eastAsia="仿宋" w:cs="仿宋"/>
                <w:spacing w:val="1"/>
                <w:sz w:val="32"/>
                <w:szCs w:val="32"/>
              </w:rPr>
              <w:t>噪音等是否相关规定排放</w:t>
            </w:r>
          </w:p>
        </w:tc>
        <w:tc>
          <w:tcPr>
            <w:tcW w:w="699" w:type="dxa"/>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86"/>
              <w:textAlignment w:val="baseline"/>
              <w:rPr>
                <w:rFonts w:ascii="宋体" w:hAnsi="宋体" w:eastAsia="宋体" w:cs="宋体"/>
                <w:sz w:val="32"/>
                <w:szCs w:val="32"/>
              </w:rPr>
            </w:pPr>
            <w:r>
              <w:rPr>
                <w:rFonts w:ascii="宋体" w:hAnsi="宋体" w:eastAsia="宋体" w:cs="宋体"/>
                <w:spacing w:val="-10"/>
                <w:sz w:val="32"/>
                <w:szCs w:val="32"/>
              </w:rPr>
              <w:t>10</w:t>
            </w:r>
          </w:p>
        </w:tc>
        <w:tc>
          <w:tcPr>
            <w:tcW w:w="2058" w:type="dxa"/>
            <w:vAlign w:val="top"/>
          </w:tcPr>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91" w:right="13"/>
              <w:jc w:val="both"/>
              <w:textAlignment w:val="baseline"/>
              <w:rPr>
                <w:rFonts w:ascii="宋体" w:hAnsi="宋体" w:eastAsia="宋体" w:cs="宋体"/>
                <w:sz w:val="32"/>
                <w:szCs w:val="32"/>
              </w:rPr>
            </w:pPr>
            <w:r>
              <w:rPr>
                <w:rFonts w:hint="eastAsia" w:ascii="仿宋" w:hAnsi="仿宋" w:eastAsia="仿宋" w:cs="仿宋"/>
                <w:spacing w:val="3"/>
                <w:sz w:val="32"/>
                <w:szCs w:val="32"/>
              </w:rPr>
              <w:t>培训演</w:t>
            </w:r>
            <w:r>
              <w:rPr>
                <w:rFonts w:hint="eastAsia" w:ascii="仿宋" w:hAnsi="仿宋" w:eastAsia="仿宋" w:cs="仿宋"/>
                <w:spacing w:val="4"/>
                <w:sz w:val="32"/>
                <w:szCs w:val="32"/>
              </w:rPr>
              <w:t>练2分，防护服装2分，环境2分，出现粉尘、异味、废 水、噪音等每项扣2分</w:t>
            </w:r>
          </w:p>
        </w:tc>
        <w:tc>
          <w:tcPr>
            <w:tcW w:w="664" w:type="dxa"/>
            <w:vAlign w:val="top"/>
          </w:tcPr>
          <w:p>
            <w:pPr>
              <w:rPr>
                <w:rFonts w:ascii="Arial"/>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6" w:hRule="atLeast"/>
        </w:trPr>
        <w:tc>
          <w:tcPr>
            <w:tcW w:w="972" w:type="dxa"/>
            <w:vMerge w:val="continue"/>
            <w:tcBorders>
              <w:top w:val="nil"/>
            </w:tcBorders>
            <w:vAlign w:val="top"/>
          </w:tcPr>
          <w:p>
            <w:pPr>
              <w:rPr>
                <w:rFonts w:ascii="Arial"/>
                <w:sz w:val="32"/>
                <w:szCs w:val="32"/>
              </w:rPr>
            </w:pPr>
          </w:p>
        </w:tc>
        <w:tc>
          <w:tcPr>
            <w:tcW w:w="4671" w:type="dxa"/>
            <w:vAlign w:val="top"/>
          </w:tcPr>
          <w:p>
            <w:pPr>
              <w:keepNext w:val="0"/>
              <w:keepLines w:val="0"/>
              <w:pageBreakBefore w:val="0"/>
              <w:widowControl/>
              <w:kinsoku w:val="0"/>
              <w:wordWrap/>
              <w:overflowPunct/>
              <w:topLinePunct w:val="0"/>
              <w:autoSpaceDE w:val="0"/>
              <w:autoSpaceDN w:val="0"/>
              <w:bidi w:val="0"/>
              <w:adjustRightInd w:val="0"/>
              <w:snapToGrid w:val="0"/>
              <w:spacing w:before="191" w:line="560" w:lineRule="exact"/>
              <w:ind w:left="91" w:right="110"/>
              <w:jc w:val="both"/>
              <w:textAlignment w:val="baseline"/>
              <w:rPr>
                <w:rFonts w:ascii="宋体" w:hAnsi="宋体" w:eastAsia="宋体" w:cs="宋体"/>
                <w:sz w:val="32"/>
                <w:szCs w:val="32"/>
              </w:rPr>
            </w:pPr>
            <w:r>
              <w:rPr>
                <w:rFonts w:hint="eastAsia" w:ascii="仿宋" w:hAnsi="仿宋" w:eastAsia="仿宋" w:cs="仿宋"/>
                <w:spacing w:val="4"/>
                <w:sz w:val="32"/>
                <w:szCs w:val="32"/>
              </w:rPr>
              <w:t>6.厂房、仓库内是否存放违</w:t>
            </w:r>
            <w:r>
              <w:rPr>
                <w:rFonts w:hint="eastAsia" w:ascii="仿宋" w:hAnsi="仿宋" w:eastAsia="仿宋" w:cs="仿宋"/>
                <w:sz w:val="32"/>
                <w:szCs w:val="32"/>
              </w:rPr>
              <w:t xml:space="preserve"> </w:t>
            </w:r>
            <w:r>
              <w:rPr>
                <w:rFonts w:hint="eastAsia" w:ascii="仿宋" w:hAnsi="仿宋" w:eastAsia="仿宋" w:cs="仿宋"/>
                <w:spacing w:val="2"/>
                <w:sz w:val="32"/>
                <w:szCs w:val="32"/>
              </w:rPr>
              <w:t>法的原料、与生产无关的药</w:t>
            </w:r>
            <w:r>
              <w:rPr>
                <w:rFonts w:hint="eastAsia" w:ascii="仿宋" w:hAnsi="仿宋" w:eastAsia="仿宋" w:cs="仿宋"/>
                <w:spacing w:val="10"/>
                <w:sz w:val="32"/>
                <w:szCs w:val="32"/>
              </w:rPr>
              <w:t xml:space="preserve"> </w:t>
            </w:r>
            <w:r>
              <w:rPr>
                <w:rFonts w:hint="eastAsia" w:ascii="仿宋" w:hAnsi="仿宋" w:eastAsia="仿宋" w:cs="仿宋"/>
                <w:spacing w:val="4"/>
                <w:sz w:val="32"/>
                <w:szCs w:val="32"/>
              </w:rPr>
              <w:t>物、添加剂等物料，产品标</w:t>
            </w:r>
            <w:r>
              <w:rPr>
                <w:rFonts w:hint="eastAsia" w:ascii="仿宋" w:hAnsi="仿宋" w:eastAsia="仿宋" w:cs="仿宋"/>
                <w:spacing w:val="3"/>
                <w:sz w:val="32"/>
                <w:szCs w:val="32"/>
              </w:rPr>
              <w:t xml:space="preserve"> </w:t>
            </w:r>
            <w:r>
              <w:rPr>
                <w:rFonts w:hint="eastAsia" w:ascii="仿宋" w:hAnsi="仿宋" w:eastAsia="仿宋" w:cs="仿宋"/>
                <w:spacing w:val="5"/>
                <w:sz w:val="32"/>
                <w:szCs w:val="32"/>
              </w:rPr>
              <w:t>签和包装袋等内容是否符合</w:t>
            </w:r>
            <w:r>
              <w:rPr>
                <w:rFonts w:hint="eastAsia" w:ascii="仿宋" w:hAnsi="仿宋" w:eastAsia="仿宋" w:cs="仿宋"/>
                <w:spacing w:val="19"/>
                <w:sz w:val="32"/>
                <w:szCs w:val="32"/>
              </w:rPr>
              <w:t>要求★</w:t>
            </w:r>
          </w:p>
        </w:tc>
        <w:tc>
          <w:tcPr>
            <w:tcW w:w="699" w:type="dxa"/>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86"/>
              <w:textAlignment w:val="baseline"/>
              <w:rPr>
                <w:rFonts w:ascii="宋体" w:hAnsi="宋体" w:eastAsia="宋体" w:cs="宋体"/>
                <w:sz w:val="32"/>
                <w:szCs w:val="32"/>
              </w:rPr>
            </w:pPr>
            <w:r>
              <w:rPr>
                <w:rFonts w:ascii="宋体" w:hAnsi="宋体" w:eastAsia="宋体" w:cs="宋体"/>
                <w:spacing w:val="-10"/>
                <w:sz w:val="32"/>
                <w:szCs w:val="32"/>
              </w:rPr>
              <w:t>10</w:t>
            </w:r>
          </w:p>
        </w:tc>
        <w:tc>
          <w:tcPr>
            <w:tcW w:w="205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91" w:right="13"/>
              <w:jc w:val="both"/>
              <w:textAlignment w:val="baseline"/>
              <w:rPr>
                <w:rFonts w:hint="eastAsia" w:ascii="仿宋" w:hAnsi="仿宋" w:eastAsia="仿宋" w:cs="仿宋"/>
                <w:spacing w:val="4"/>
                <w:sz w:val="32"/>
                <w:szCs w:val="32"/>
              </w:rPr>
            </w:pPr>
            <w:r>
              <w:rPr>
                <w:rFonts w:hint="eastAsia" w:ascii="仿宋" w:hAnsi="仿宋" w:eastAsia="仿宋" w:cs="仿宋"/>
                <w:spacing w:val="4"/>
                <w:sz w:val="32"/>
                <w:szCs w:val="32"/>
              </w:rPr>
              <w:t>违法产品一</w:t>
            </w: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91" w:right="13"/>
              <w:jc w:val="both"/>
              <w:textAlignment w:val="baseline"/>
              <w:rPr>
                <w:rFonts w:hint="eastAsia" w:ascii="仿宋" w:hAnsi="仿宋" w:eastAsia="仿宋" w:cs="仿宋"/>
                <w:spacing w:val="4"/>
                <w:sz w:val="32"/>
                <w:szCs w:val="32"/>
              </w:rPr>
            </w:pPr>
            <w:r>
              <w:rPr>
                <w:rFonts w:hint="eastAsia" w:ascii="仿宋" w:hAnsi="仿宋" w:eastAsia="仿宋" w:cs="仿宋"/>
                <w:spacing w:val="4"/>
                <w:sz w:val="32"/>
                <w:szCs w:val="32"/>
              </w:rPr>
              <w:t>票否决，每个 扣5分；违规</w:t>
            </w: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91" w:right="13"/>
              <w:jc w:val="both"/>
              <w:textAlignment w:val="baseline"/>
              <w:rPr>
                <w:rFonts w:hint="eastAsia" w:ascii="仿宋" w:hAnsi="仿宋" w:eastAsia="仿宋" w:cs="仿宋"/>
                <w:spacing w:val="4"/>
                <w:sz w:val="32"/>
                <w:szCs w:val="32"/>
              </w:rPr>
            </w:pPr>
            <w:r>
              <w:rPr>
                <w:rFonts w:hint="eastAsia" w:ascii="仿宋" w:hAnsi="仿宋" w:eastAsia="仿宋" w:cs="仿宋"/>
                <w:spacing w:val="4"/>
                <w:sz w:val="32"/>
                <w:szCs w:val="32"/>
              </w:rPr>
              <w:t>产品每个扣</w:t>
            </w: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91" w:right="13"/>
              <w:jc w:val="both"/>
              <w:textAlignment w:val="baseline"/>
              <w:rPr>
                <w:rFonts w:ascii="宋体" w:hAnsi="宋体" w:eastAsia="宋体" w:cs="宋体"/>
                <w:sz w:val="32"/>
                <w:szCs w:val="32"/>
              </w:rPr>
            </w:pPr>
            <w:r>
              <w:rPr>
                <w:rFonts w:hint="eastAsia" w:ascii="仿宋" w:hAnsi="仿宋" w:eastAsia="仿宋" w:cs="仿宋"/>
                <w:spacing w:val="4"/>
                <w:sz w:val="32"/>
                <w:szCs w:val="32"/>
              </w:rPr>
              <w:t>1-3分</w:t>
            </w:r>
          </w:p>
        </w:tc>
        <w:tc>
          <w:tcPr>
            <w:tcW w:w="664" w:type="dxa"/>
            <w:vAlign w:val="top"/>
          </w:tcPr>
          <w:p>
            <w:pPr>
              <w:rPr>
                <w:rFonts w:ascii="Arial"/>
                <w:sz w:val="32"/>
                <w:szCs w:val="32"/>
              </w:rPr>
            </w:pPr>
          </w:p>
        </w:tc>
      </w:tr>
    </w:tbl>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sz w:val="32"/>
          <w:szCs w:val="32"/>
        </w:rPr>
        <w:sectPr>
          <w:pgSz w:w="11900" w:h="16820"/>
          <w:pgMar w:top="1429" w:right="1204" w:bottom="400" w:left="1785" w:header="0" w:footer="0" w:gutter="0"/>
          <w:pgNumType w:fmt="decimal"/>
          <w:cols w:space="720" w:num="1"/>
        </w:sectPr>
      </w:pPr>
    </w:p>
    <w:tbl>
      <w:tblPr>
        <w:tblStyle w:val="6"/>
        <w:tblpPr w:leftFromText="180" w:rightFromText="180" w:vertAnchor="text" w:horzAnchor="page" w:tblpX="1767" w:tblpY="-33"/>
        <w:tblOverlap w:val="never"/>
        <w:tblW w:w="90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6"/>
        <w:gridCol w:w="4611"/>
        <w:gridCol w:w="689"/>
        <w:gridCol w:w="2057"/>
        <w:gridCol w:w="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3" w:hRule="atLeast"/>
        </w:trPr>
        <w:tc>
          <w:tcPr>
            <w:tcW w:w="996"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before="129" w:line="560" w:lineRule="exact"/>
              <w:ind w:left="64"/>
              <w:textAlignment w:val="baseline"/>
              <w:rPr>
                <w:rFonts w:ascii="宋体" w:hAnsi="宋体" w:eastAsia="宋体" w:cs="宋体"/>
                <w:spacing w:val="8"/>
                <w:position w:val="2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29" w:line="560" w:lineRule="exact"/>
              <w:ind w:left="64"/>
              <w:textAlignment w:val="baseline"/>
              <w:rPr>
                <w:rFonts w:ascii="宋体" w:hAnsi="宋体" w:eastAsia="宋体" w:cs="宋体"/>
                <w:spacing w:val="8"/>
                <w:position w:val="2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29" w:line="560" w:lineRule="exact"/>
              <w:ind w:left="64"/>
              <w:textAlignment w:val="baseline"/>
              <w:rPr>
                <w:rFonts w:ascii="宋体" w:hAnsi="宋体" w:eastAsia="宋体" w:cs="宋体"/>
                <w:spacing w:val="8"/>
                <w:position w:val="2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29" w:line="560" w:lineRule="exact"/>
              <w:ind w:left="64"/>
              <w:textAlignment w:val="baseline"/>
              <w:rPr>
                <w:rFonts w:ascii="宋体" w:hAnsi="宋体" w:eastAsia="宋体" w:cs="宋体"/>
                <w:spacing w:val="8"/>
                <w:position w:val="2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29" w:line="560" w:lineRule="exact"/>
              <w:ind w:left="64"/>
              <w:textAlignment w:val="baseline"/>
              <w:rPr>
                <w:rFonts w:hint="eastAsia" w:ascii="宋体" w:hAnsi="宋体" w:eastAsia="宋体" w:cs="宋体"/>
                <w:spacing w:val="8"/>
                <w:position w:val="20"/>
                <w:sz w:val="32"/>
                <w:szCs w:val="32"/>
                <w:lang w:val="en-US" w:eastAsia="zh-CN"/>
              </w:rPr>
            </w:pPr>
            <w:r>
              <w:rPr>
                <w:rFonts w:ascii="宋体" w:hAnsi="宋体" w:eastAsia="宋体" w:cs="宋体"/>
                <w:spacing w:val="8"/>
                <w:position w:val="20"/>
                <w:sz w:val="32"/>
                <w:szCs w:val="32"/>
              </w:rPr>
              <w:t>鼓励</w:t>
            </w:r>
          </w:p>
          <w:p>
            <w:pPr>
              <w:keepNext w:val="0"/>
              <w:keepLines w:val="0"/>
              <w:pageBreakBefore w:val="0"/>
              <w:widowControl/>
              <w:kinsoku w:val="0"/>
              <w:wordWrap/>
              <w:overflowPunct/>
              <w:topLinePunct w:val="0"/>
              <w:autoSpaceDE w:val="0"/>
              <w:autoSpaceDN w:val="0"/>
              <w:bidi w:val="0"/>
              <w:adjustRightInd w:val="0"/>
              <w:snapToGrid w:val="0"/>
              <w:spacing w:before="129" w:line="560" w:lineRule="exact"/>
              <w:ind w:left="64"/>
              <w:textAlignment w:val="baseline"/>
              <w:rPr>
                <w:rFonts w:hint="eastAsia" w:ascii="宋体" w:hAnsi="宋体" w:eastAsia="宋体" w:cs="宋体"/>
                <w:sz w:val="32"/>
                <w:szCs w:val="32"/>
                <w:lang w:val="en-US" w:eastAsia="zh-CN"/>
              </w:rPr>
            </w:pPr>
            <w:r>
              <w:rPr>
                <w:rFonts w:ascii="宋体" w:hAnsi="宋体" w:eastAsia="宋体" w:cs="宋体"/>
                <w:spacing w:val="8"/>
                <w:position w:val="20"/>
                <w:sz w:val="32"/>
                <w:szCs w:val="32"/>
              </w:rPr>
              <mc:AlternateContent>
                <mc:Choice Requires="wps">
                  <w:drawing>
                    <wp:anchor distT="0" distB="0" distL="114300" distR="114300" simplePos="0" relativeHeight="251664384" behindDoc="0" locked="0" layoutInCell="1" allowOverlap="1">
                      <wp:simplePos x="0" y="0"/>
                      <wp:positionH relativeFrom="page">
                        <wp:posOffset>-16510</wp:posOffset>
                      </wp:positionH>
                      <wp:positionV relativeFrom="page">
                        <wp:posOffset>289560</wp:posOffset>
                      </wp:positionV>
                      <wp:extent cx="271145" cy="228600"/>
                      <wp:effectExtent l="0" t="0" r="0" b="0"/>
                      <wp:wrapNone/>
                      <wp:docPr id="1" name="文本框 1"/>
                      <wp:cNvGraphicFramePr/>
                      <a:graphic xmlns:a="http://schemas.openxmlformats.org/drawingml/2006/main">
                        <a:graphicData uri="http://schemas.microsoft.com/office/word/2010/wordprocessingShape">
                          <wps:wsp>
                            <wps:cNvSpPr txBox="1"/>
                            <wps:spPr>
                              <a:xfrm rot="480000">
                                <a:off x="0" y="0"/>
                                <a:ext cx="271145" cy="228600"/>
                              </a:xfrm>
                              <a:prstGeom prst="rect">
                                <a:avLst/>
                              </a:prstGeom>
                              <a:noFill/>
                              <a:ln>
                                <a:noFill/>
                              </a:ln>
                            </wps:spPr>
                            <wps:txbx>
                              <w:txbxContent>
                                <w:p>
                                  <w:pPr>
                                    <w:spacing w:before="19" w:line="217" w:lineRule="auto"/>
                                    <w:ind w:left="20"/>
                                    <w:rPr>
                                      <w:rFonts w:ascii="宋体" w:hAnsi="宋体" w:eastAsia="宋体" w:cs="宋体"/>
                                      <w:sz w:val="32"/>
                                      <w:szCs w:val="32"/>
                                    </w:rPr>
                                  </w:pPr>
                                </w:p>
                              </w:txbxContent>
                            </wps:txbx>
                            <wps:bodyPr vert="eaVert" lIns="0" tIns="0" rIns="0" bIns="0" upright="1"/>
                          </wps:wsp>
                        </a:graphicData>
                      </a:graphic>
                    </wp:anchor>
                  </w:drawing>
                </mc:Choice>
                <mc:Fallback>
                  <w:pict>
                    <v:shape id="_x0000_s1026" o:spid="_x0000_s1026" o:spt="202" type="#_x0000_t202" style="position:absolute;left:0pt;margin-left:-1.3pt;margin-top:22.8pt;height:18pt;width:21.35pt;mso-position-horizontal-relative:page;mso-position-vertical-relative:page;rotation:524288f;z-index:251664384;mso-width-relative:page;mso-height-relative:page;" filled="f" stroked="f" coordsize="21600,21600" o:gfxdata="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tirj7VAAAABwEAAA8AAAAAAAAAAQAgAAAAIgAAAGRycy9k&#10;b3ducmV2LnhtbFBLAQIUABQAAAAIAIdO4kCXtof1zAEAAIwDAAAOAAAAAAAAAAEAIAAAACQBAABk&#10;cnMvZTJvRG9jLnhtbFBLBQYAAAAABgAGAFkBAABiBQAAAAA=&#10;">
                      <v:fill on="f" focussize="0,0"/>
                      <v:stroke on="f"/>
                      <v:imagedata o:title=""/>
                      <o:lock v:ext="edit" aspectratio="f"/>
                      <v:textbox inset="0mm,0mm,0mm,0mm" style="layout-flow:vertical-ideographic;">
                        <w:txbxContent>
                          <w:p>
                            <w:pPr>
                              <w:spacing w:before="19" w:line="217" w:lineRule="auto"/>
                              <w:ind w:left="20"/>
                              <w:rPr>
                                <w:rFonts w:ascii="宋体" w:hAnsi="宋体" w:eastAsia="宋体" w:cs="宋体"/>
                                <w:sz w:val="32"/>
                                <w:szCs w:val="32"/>
                              </w:rPr>
                            </w:pPr>
                          </w:p>
                        </w:txbxContent>
                      </v:textbox>
                    </v:shape>
                  </w:pict>
                </mc:Fallback>
              </mc:AlternateContent>
            </w:r>
            <w:r>
              <w:rPr>
                <w:rFonts w:ascii="宋体" w:hAnsi="宋体" w:eastAsia="宋体" w:cs="宋体"/>
                <w:spacing w:val="8"/>
                <w:position w:val="20"/>
                <w:sz w:val="32"/>
                <w:szCs w:val="32"/>
              </w:rPr>
              <w:t>性加</w:t>
            </w:r>
            <w:r>
              <w:rPr>
                <w:rFonts w:hint="eastAsia" w:ascii="宋体" w:hAnsi="宋体" w:eastAsia="宋体" w:cs="宋体"/>
                <w:spacing w:val="8"/>
                <w:position w:val="20"/>
                <w:sz w:val="32"/>
                <w:szCs w:val="32"/>
                <w:lang w:val="en-US" w:eastAsia="zh-CN"/>
              </w:rPr>
              <w:t>分</w:t>
            </w:r>
          </w:p>
        </w:tc>
        <w:tc>
          <w:tcPr>
            <w:tcW w:w="4611" w:type="dxa"/>
            <w:vAlign w:val="top"/>
          </w:tcPr>
          <w:p>
            <w:pPr>
              <w:keepNext w:val="0"/>
              <w:keepLines w:val="0"/>
              <w:pageBreakBefore w:val="0"/>
              <w:widowControl/>
              <w:kinsoku w:val="0"/>
              <w:wordWrap/>
              <w:overflowPunct/>
              <w:topLinePunct w:val="0"/>
              <w:autoSpaceDE w:val="0"/>
              <w:autoSpaceDN w:val="0"/>
              <w:bidi w:val="0"/>
              <w:adjustRightInd w:val="0"/>
              <w:snapToGrid w:val="0"/>
              <w:spacing w:before="155" w:line="560" w:lineRule="exact"/>
              <w:ind w:left="80" w:right="34"/>
              <w:jc w:val="both"/>
              <w:textAlignment w:val="baseline"/>
              <w:rPr>
                <w:rFonts w:hint="eastAsia" w:ascii="仿宋" w:hAnsi="仿宋" w:eastAsia="仿宋" w:cs="仿宋"/>
                <w:sz w:val="32"/>
                <w:szCs w:val="32"/>
              </w:rPr>
            </w:pPr>
            <w:r>
              <w:rPr>
                <w:rFonts w:hint="eastAsia" w:ascii="仿宋" w:hAnsi="仿宋" w:eastAsia="仿宋" w:cs="仿宋"/>
                <w:spacing w:val="4"/>
                <w:sz w:val="32"/>
                <w:szCs w:val="32"/>
              </w:rPr>
              <w:t>7.饲料兽药农药生产质量安</w:t>
            </w:r>
            <w:r>
              <w:rPr>
                <w:rFonts w:hint="eastAsia" w:ascii="仿宋" w:hAnsi="仿宋" w:eastAsia="仿宋" w:cs="仿宋"/>
                <w:spacing w:val="15"/>
                <w:sz w:val="32"/>
                <w:szCs w:val="32"/>
              </w:rPr>
              <w:t>全管理规范(</w:t>
            </w:r>
            <w:r>
              <w:rPr>
                <w:rFonts w:hint="eastAsia" w:ascii="仿宋" w:hAnsi="仿宋" w:eastAsia="仿宋" w:cs="仿宋"/>
                <w:sz w:val="32"/>
                <w:szCs w:val="32"/>
              </w:rPr>
              <w:t>GMP</w:t>
            </w:r>
            <w:r>
              <w:rPr>
                <w:rFonts w:hint="eastAsia" w:ascii="仿宋" w:hAnsi="仿宋" w:eastAsia="仿宋" w:cs="仿宋"/>
                <w:spacing w:val="15"/>
                <w:sz w:val="32"/>
                <w:szCs w:val="32"/>
              </w:rPr>
              <w:t>)检查评分</w:t>
            </w:r>
            <w:r>
              <w:rPr>
                <w:rFonts w:hint="eastAsia" w:ascii="仿宋" w:hAnsi="仿宋" w:eastAsia="仿宋" w:cs="仿宋"/>
                <w:spacing w:val="3"/>
                <w:sz w:val="32"/>
                <w:szCs w:val="32"/>
              </w:rPr>
              <w:t xml:space="preserve">  </w:t>
            </w:r>
            <w:r>
              <w:rPr>
                <w:rFonts w:hint="eastAsia" w:ascii="仿宋" w:hAnsi="仿宋" w:eastAsia="仿宋" w:cs="仿宋"/>
                <w:spacing w:val="4"/>
                <w:sz w:val="32"/>
                <w:szCs w:val="32"/>
              </w:rPr>
              <w:t>或者示范企业等，饲料兽药</w:t>
            </w:r>
            <w:r>
              <w:rPr>
                <w:rFonts w:hint="eastAsia" w:ascii="仿宋" w:hAnsi="仿宋" w:eastAsia="仿宋" w:cs="仿宋"/>
                <w:spacing w:val="5"/>
                <w:sz w:val="32"/>
                <w:szCs w:val="32"/>
              </w:rPr>
              <w:t xml:space="preserve"> </w:t>
            </w:r>
            <w:r>
              <w:rPr>
                <w:rFonts w:hint="eastAsia" w:ascii="仿宋" w:hAnsi="仿宋" w:eastAsia="仿宋" w:cs="仿宋"/>
                <w:spacing w:val="13"/>
                <w:sz w:val="32"/>
                <w:szCs w:val="32"/>
              </w:rPr>
              <w:t>农药安全生产、清洁生产、</w:t>
            </w:r>
            <w:r>
              <w:rPr>
                <w:rFonts w:hint="eastAsia" w:ascii="仿宋" w:hAnsi="仿宋" w:eastAsia="仿宋" w:cs="仿宋"/>
                <w:spacing w:val="1"/>
                <w:sz w:val="32"/>
                <w:szCs w:val="32"/>
              </w:rPr>
              <w:t>标准化认证等相关认证认可</w:t>
            </w:r>
          </w:p>
        </w:tc>
        <w:tc>
          <w:tcPr>
            <w:tcW w:w="689" w:type="dxa"/>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宋体" w:hAnsi="宋体" w:eastAsia="宋体" w:cs="宋体"/>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宋体" w:hAnsi="宋体" w:eastAsia="宋体" w:cs="宋体"/>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320" w:firstLineChars="100"/>
              <w:textAlignment w:val="baseline"/>
              <w:rPr>
                <w:rFonts w:ascii="Arial"/>
                <w:sz w:val="32"/>
                <w:szCs w:val="32"/>
              </w:rPr>
            </w:pPr>
            <w:r>
              <w:rPr>
                <w:rFonts w:ascii="宋体" w:hAnsi="宋体" w:eastAsia="宋体" w:cs="宋体"/>
                <w:sz w:val="32"/>
                <w:szCs w:val="32"/>
              </w:rPr>
              <w:t>5</w:t>
            </w:r>
          </w:p>
        </w:tc>
        <w:tc>
          <w:tcPr>
            <w:tcW w:w="2057" w:type="dxa"/>
            <w:vAlign w:val="top"/>
          </w:tcPr>
          <w:p>
            <w:pPr>
              <w:keepNext w:val="0"/>
              <w:keepLines w:val="0"/>
              <w:pageBreakBefore w:val="0"/>
              <w:widowControl/>
              <w:kinsoku w:val="0"/>
              <w:wordWrap/>
              <w:overflowPunct/>
              <w:topLinePunct w:val="0"/>
              <w:autoSpaceDE w:val="0"/>
              <w:autoSpaceDN w:val="0"/>
              <w:bidi w:val="0"/>
              <w:adjustRightInd w:val="0"/>
              <w:snapToGrid w:val="0"/>
              <w:spacing w:before="119" w:line="560" w:lineRule="exact"/>
              <w:ind w:left="86"/>
              <w:textAlignment w:val="baseline"/>
              <w:rPr>
                <w:rFonts w:ascii="宋体" w:hAnsi="宋体" w:eastAsia="宋体" w:cs="宋体"/>
                <w:sz w:val="32"/>
                <w:szCs w:val="32"/>
              </w:rPr>
            </w:pPr>
            <w:r>
              <w:rPr>
                <w:rFonts w:hint="eastAsia" w:ascii="仿宋" w:hAnsi="仿宋" w:eastAsia="仿宋" w:cs="仿宋"/>
                <w:spacing w:val="4"/>
                <w:sz w:val="32"/>
                <w:szCs w:val="32"/>
              </w:rPr>
              <w:t>市级示范企</w:t>
            </w:r>
            <w:r>
              <w:rPr>
                <w:rFonts w:hint="eastAsia" w:ascii="仿宋" w:hAnsi="仿宋" w:eastAsia="仿宋" w:cs="仿宋"/>
                <w:sz w:val="32"/>
                <w:szCs w:val="32"/>
              </w:rPr>
              <w:t>业5分</w:t>
            </w:r>
          </w:p>
        </w:tc>
        <w:tc>
          <w:tcPr>
            <w:tcW w:w="664" w:type="dxa"/>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96"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32"/>
                <w:szCs w:val="32"/>
              </w:rPr>
            </w:pPr>
          </w:p>
        </w:tc>
        <w:tc>
          <w:tcPr>
            <w:tcW w:w="4611" w:type="dxa"/>
            <w:vAlign w:val="top"/>
          </w:tcPr>
          <w:p>
            <w:pPr>
              <w:keepNext w:val="0"/>
              <w:keepLines w:val="0"/>
              <w:pageBreakBefore w:val="0"/>
              <w:widowControl/>
              <w:kinsoku w:val="0"/>
              <w:wordWrap/>
              <w:overflowPunct/>
              <w:topLinePunct w:val="0"/>
              <w:autoSpaceDE w:val="0"/>
              <w:autoSpaceDN w:val="0"/>
              <w:bidi w:val="0"/>
              <w:adjustRightInd w:val="0"/>
              <w:snapToGrid w:val="0"/>
              <w:spacing w:before="181" w:line="560" w:lineRule="exact"/>
              <w:ind w:left="80" w:right="131"/>
              <w:jc w:val="both"/>
              <w:textAlignment w:val="baseline"/>
              <w:rPr>
                <w:rFonts w:hint="eastAsia" w:ascii="仿宋" w:hAnsi="仿宋" w:eastAsia="仿宋" w:cs="仿宋"/>
                <w:sz w:val="32"/>
                <w:szCs w:val="32"/>
              </w:rPr>
            </w:pPr>
            <w:r>
              <w:rPr>
                <w:rFonts w:hint="eastAsia" w:ascii="仿宋" w:hAnsi="仿宋" w:eastAsia="仿宋" w:cs="仿宋"/>
                <w:spacing w:val="4"/>
                <w:sz w:val="32"/>
                <w:szCs w:val="32"/>
              </w:rPr>
              <w:t>8.饲料兽药农药生产统计信</w:t>
            </w:r>
            <w:r>
              <w:rPr>
                <w:rFonts w:hint="eastAsia" w:ascii="仿宋" w:hAnsi="仿宋" w:eastAsia="仿宋" w:cs="仿宋"/>
                <w:spacing w:val="30"/>
                <w:sz w:val="32"/>
                <w:szCs w:val="32"/>
              </w:rPr>
              <w:t>息和兽药追溯信息齐全准</w:t>
            </w:r>
            <w:r>
              <w:rPr>
                <w:rFonts w:hint="eastAsia" w:ascii="仿宋" w:hAnsi="仿宋" w:eastAsia="仿宋" w:cs="仿宋"/>
                <w:spacing w:val="5"/>
                <w:sz w:val="32"/>
                <w:szCs w:val="32"/>
              </w:rPr>
              <w:t>确，添加剂预混料和混合型</w:t>
            </w:r>
            <w:r>
              <w:rPr>
                <w:rFonts w:hint="eastAsia" w:ascii="仿宋" w:hAnsi="仿宋" w:eastAsia="仿宋" w:cs="仿宋"/>
                <w:spacing w:val="4"/>
                <w:sz w:val="32"/>
                <w:szCs w:val="32"/>
              </w:rPr>
              <w:t>饲料添加剂产品网上备案及</w:t>
            </w:r>
            <w:r>
              <w:rPr>
                <w:rFonts w:hint="eastAsia" w:ascii="仿宋" w:hAnsi="仿宋" w:eastAsia="仿宋" w:cs="仿宋"/>
                <w:spacing w:val="31"/>
                <w:sz w:val="32"/>
                <w:szCs w:val="32"/>
              </w:rPr>
              <w:t>齐全</w:t>
            </w:r>
          </w:p>
        </w:tc>
        <w:tc>
          <w:tcPr>
            <w:tcW w:w="689" w:type="dxa"/>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65" w:firstLine="320" w:firstLineChars="100"/>
              <w:textAlignment w:val="baseline"/>
              <w:rPr>
                <w:rFonts w:ascii="宋体" w:hAnsi="宋体" w:eastAsia="宋体" w:cs="宋体"/>
                <w:sz w:val="32"/>
                <w:szCs w:val="32"/>
              </w:rPr>
            </w:pPr>
            <w:r>
              <w:rPr>
                <w:rFonts w:ascii="宋体" w:hAnsi="宋体" w:eastAsia="宋体" w:cs="宋体"/>
                <w:sz w:val="32"/>
                <w:szCs w:val="32"/>
              </w:rPr>
              <w:t>5</w:t>
            </w:r>
          </w:p>
        </w:tc>
        <w:tc>
          <w:tcPr>
            <w:tcW w:w="2057" w:type="dxa"/>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32"/>
                <w:szCs w:val="32"/>
              </w:rPr>
            </w:pPr>
          </w:p>
        </w:tc>
        <w:tc>
          <w:tcPr>
            <w:tcW w:w="664" w:type="dxa"/>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5" w:hRule="atLeast"/>
        </w:trPr>
        <w:tc>
          <w:tcPr>
            <w:tcW w:w="996"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32"/>
                <w:szCs w:val="32"/>
              </w:rPr>
            </w:pPr>
          </w:p>
        </w:tc>
        <w:tc>
          <w:tcPr>
            <w:tcW w:w="4611" w:type="dxa"/>
            <w:vAlign w:val="top"/>
          </w:tcPr>
          <w:p>
            <w:pPr>
              <w:keepNext w:val="0"/>
              <w:keepLines w:val="0"/>
              <w:pageBreakBefore w:val="0"/>
              <w:widowControl/>
              <w:kinsoku w:val="0"/>
              <w:wordWrap/>
              <w:overflowPunct/>
              <w:topLinePunct w:val="0"/>
              <w:autoSpaceDE w:val="0"/>
              <w:autoSpaceDN w:val="0"/>
              <w:bidi w:val="0"/>
              <w:adjustRightInd w:val="0"/>
              <w:snapToGrid w:val="0"/>
              <w:spacing w:before="176" w:line="560" w:lineRule="exact"/>
              <w:ind w:left="80"/>
              <w:textAlignment w:val="baseline"/>
              <w:rPr>
                <w:rFonts w:ascii="宋体" w:hAnsi="宋体" w:eastAsia="宋体" w:cs="宋体"/>
                <w:sz w:val="32"/>
                <w:szCs w:val="32"/>
              </w:rPr>
            </w:pPr>
            <w:r>
              <w:rPr>
                <w:rFonts w:hint="eastAsia" w:ascii="仿宋" w:hAnsi="仿宋" w:eastAsia="仿宋" w:cs="仿宋"/>
                <w:spacing w:val="11"/>
                <w:sz w:val="32"/>
                <w:szCs w:val="32"/>
              </w:rPr>
              <w:t>9.饲料兽药农药新产品数量</w:t>
            </w:r>
            <w:r>
              <w:rPr>
                <w:rFonts w:hint="eastAsia" w:ascii="仿宋" w:hAnsi="仿宋" w:eastAsia="仿宋" w:cs="仿宋"/>
                <w:spacing w:val="12"/>
                <w:sz w:val="32"/>
                <w:szCs w:val="32"/>
              </w:rPr>
              <w:t>及品牌知名度，产业化龙头</w:t>
            </w:r>
            <w:r>
              <w:rPr>
                <w:rFonts w:hint="eastAsia" w:ascii="仿宋" w:hAnsi="仿宋" w:eastAsia="仿宋" w:cs="仿宋"/>
                <w:spacing w:val="10"/>
                <w:sz w:val="32"/>
                <w:szCs w:val="32"/>
              </w:rPr>
              <w:t>企业、民生保障企业等资质，</w:t>
            </w:r>
            <w:r>
              <w:rPr>
                <w:rFonts w:hint="eastAsia" w:ascii="仿宋" w:hAnsi="仿宋" w:eastAsia="仿宋" w:cs="仿宋"/>
                <w:spacing w:val="12"/>
                <w:sz w:val="32"/>
                <w:szCs w:val="32"/>
              </w:rPr>
              <w:t>其他促进行业进步、服务社</w:t>
            </w:r>
            <w:r>
              <w:rPr>
                <w:rFonts w:hint="eastAsia" w:ascii="仿宋" w:hAnsi="仿宋" w:eastAsia="仿宋" w:cs="仿宋"/>
                <w:spacing w:val="9"/>
                <w:sz w:val="32"/>
                <w:szCs w:val="32"/>
              </w:rPr>
              <w:t>会公益等先进典型和诚信方</w:t>
            </w:r>
            <w:r>
              <w:rPr>
                <w:rFonts w:hint="eastAsia" w:ascii="仿宋" w:hAnsi="仿宋" w:eastAsia="仿宋" w:cs="仿宋"/>
                <w:spacing w:val="24"/>
                <w:sz w:val="32"/>
                <w:szCs w:val="32"/>
              </w:rPr>
              <w:t>面做法</w:t>
            </w:r>
          </w:p>
        </w:tc>
        <w:tc>
          <w:tcPr>
            <w:tcW w:w="689" w:type="dxa"/>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65" w:firstLine="320" w:firstLineChars="100"/>
              <w:textAlignment w:val="baseline"/>
              <w:rPr>
                <w:rFonts w:ascii="宋体" w:hAnsi="宋体" w:eastAsia="宋体" w:cs="宋体"/>
                <w:sz w:val="32"/>
                <w:szCs w:val="32"/>
              </w:rPr>
            </w:pPr>
            <w:r>
              <w:rPr>
                <w:rFonts w:ascii="宋体" w:hAnsi="宋体" w:eastAsia="宋体" w:cs="宋体"/>
                <w:sz w:val="32"/>
                <w:szCs w:val="32"/>
              </w:rPr>
              <w:t>5</w:t>
            </w:r>
          </w:p>
        </w:tc>
        <w:tc>
          <w:tcPr>
            <w:tcW w:w="2057" w:type="dxa"/>
            <w:vAlign w:val="top"/>
          </w:tcPr>
          <w:p>
            <w:pPr>
              <w:keepNext w:val="0"/>
              <w:keepLines w:val="0"/>
              <w:pageBreakBefore w:val="0"/>
              <w:widowControl/>
              <w:kinsoku w:val="0"/>
              <w:wordWrap/>
              <w:overflowPunct/>
              <w:topLinePunct w:val="0"/>
              <w:autoSpaceDE w:val="0"/>
              <w:autoSpaceDN w:val="0"/>
              <w:bidi w:val="0"/>
              <w:adjustRightInd w:val="0"/>
              <w:snapToGrid w:val="0"/>
              <w:spacing w:before="156" w:line="560" w:lineRule="exact"/>
              <w:ind w:left="86" w:right="180"/>
              <w:textAlignment w:val="baseline"/>
              <w:rPr>
                <w:rFonts w:hint="eastAsia" w:ascii="仿宋" w:hAnsi="仿宋" w:eastAsia="仿宋" w:cs="仿宋"/>
                <w:sz w:val="32"/>
                <w:szCs w:val="32"/>
              </w:rPr>
            </w:pPr>
            <w:r>
              <w:rPr>
                <w:rFonts w:hint="eastAsia" w:ascii="仿宋" w:hAnsi="仿宋" w:eastAsia="仿宋" w:cs="仿宋"/>
                <w:spacing w:val="3"/>
                <w:sz w:val="32"/>
                <w:szCs w:val="32"/>
              </w:rPr>
              <w:t>国家级新产</w:t>
            </w:r>
            <w:r>
              <w:rPr>
                <w:rFonts w:hint="eastAsia" w:ascii="仿宋" w:hAnsi="仿宋" w:eastAsia="仿宋" w:cs="仿宋"/>
                <w:spacing w:val="1"/>
                <w:sz w:val="32"/>
                <w:szCs w:val="32"/>
              </w:rPr>
              <w:t xml:space="preserve">  </w:t>
            </w:r>
            <w:r>
              <w:rPr>
                <w:rFonts w:hint="eastAsia" w:ascii="仿宋" w:hAnsi="仿宋" w:eastAsia="仿宋" w:cs="仿宋"/>
                <w:spacing w:val="2"/>
                <w:sz w:val="32"/>
                <w:szCs w:val="32"/>
              </w:rPr>
              <w:t>品每个加-3</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86"/>
              <w:textAlignment w:val="baseline"/>
              <w:rPr>
                <w:rFonts w:ascii="宋体" w:hAnsi="宋体" w:eastAsia="宋体" w:cs="宋体"/>
                <w:sz w:val="32"/>
                <w:szCs w:val="32"/>
              </w:rPr>
            </w:pPr>
            <w:r>
              <w:rPr>
                <w:rFonts w:hint="eastAsia" w:ascii="仿宋" w:hAnsi="仿宋" w:eastAsia="仿宋" w:cs="仿宋"/>
                <w:sz w:val="32"/>
                <w:szCs w:val="32"/>
              </w:rPr>
              <w:t>分</w:t>
            </w:r>
          </w:p>
        </w:tc>
        <w:tc>
          <w:tcPr>
            <w:tcW w:w="664" w:type="dxa"/>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1" w:hRule="atLeast"/>
        </w:trPr>
        <w:tc>
          <w:tcPr>
            <w:tcW w:w="996" w:type="dxa"/>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29" w:line="560" w:lineRule="exact"/>
              <w:ind w:left="64"/>
              <w:textAlignment w:val="baseline"/>
              <w:rPr>
                <w:rFonts w:hint="eastAsia" w:ascii="宋体" w:hAnsi="宋体" w:eastAsia="宋体" w:cs="宋体"/>
                <w:spacing w:val="8"/>
                <w:position w:val="20"/>
                <w:sz w:val="32"/>
                <w:szCs w:val="32"/>
              </w:rPr>
            </w:pPr>
            <w:r>
              <w:rPr>
                <w:rFonts w:hint="eastAsia" w:ascii="宋体" w:hAnsi="宋体" w:eastAsia="宋体" w:cs="宋体"/>
                <w:spacing w:val="8"/>
                <w:position w:val="20"/>
                <w:sz w:val="32"/>
                <w:szCs w:val="32"/>
              </w:rPr>
              <w:t>约束</w:t>
            </w:r>
          </w:p>
          <w:p>
            <w:pPr>
              <w:keepNext w:val="0"/>
              <w:keepLines w:val="0"/>
              <w:pageBreakBefore w:val="0"/>
              <w:widowControl/>
              <w:kinsoku w:val="0"/>
              <w:wordWrap/>
              <w:overflowPunct/>
              <w:topLinePunct w:val="0"/>
              <w:autoSpaceDE w:val="0"/>
              <w:autoSpaceDN w:val="0"/>
              <w:bidi w:val="0"/>
              <w:adjustRightInd w:val="0"/>
              <w:snapToGrid w:val="0"/>
              <w:spacing w:before="129" w:line="560" w:lineRule="exact"/>
              <w:ind w:left="64"/>
              <w:textAlignment w:val="baseline"/>
              <w:rPr>
                <w:rFonts w:hint="eastAsia" w:ascii="宋体" w:hAnsi="宋体" w:eastAsia="宋体" w:cs="宋体"/>
                <w:spacing w:val="8"/>
                <w:position w:val="20"/>
                <w:sz w:val="32"/>
                <w:szCs w:val="32"/>
              </w:rPr>
            </w:pPr>
            <w:r>
              <w:rPr>
                <w:rFonts w:hint="eastAsia" w:ascii="宋体" w:hAnsi="宋体" w:eastAsia="宋体" w:cs="宋体"/>
                <w:spacing w:val="8"/>
                <w:position w:val="20"/>
                <w:sz w:val="32"/>
                <w:szCs w:val="32"/>
              </w:rPr>
              <w:t>性减</w:t>
            </w:r>
          </w:p>
          <w:p>
            <w:pPr>
              <w:keepNext w:val="0"/>
              <w:keepLines w:val="0"/>
              <w:pageBreakBefore w:val="0"/>
              <w:widowControl/>
              <w:kinsoku w:val="0"/>
              <w:wordWrap/>
              <w:overflowPunct/>
              <w:topLinePunct w:val="0"/>
              <w:autoSpaceDE w:val="0"/>
              <w:autoSpaceDN w:val="0"/>
              <w:bidi w:val="0"/>
              <w:adjustRightInd w:val="0"/>
              <w:snapToGrid w:val="0"/>
              <w:spacing w:before="129" w:line="560" w:lineRule="exact"/>
              <w:ind w:left="64"/>
              <w:textAlignment w:val="baseline"/>
              <w:rPr>
                <w:rFonts w:hint="eastAsia" w:ascii="仿宋" w:hAnsi="仿宋" w:eastAsia="仿宋" w:cs="仿宋"/>
                <w:sz w:val="32"/>
                <w:szCs w:val="32"/>
              </w:rPr>
            </w:pPr>
            <w:r>
              <w:rPr>
                <w:rFonts w:hint="eastAsia" w:ascii="宋体" w:hAnsi="宋体" w:eastAsia="宋体" w:cs="宋体"/>
                <w:spacing w:val="8"/>
                <w:position w:val="20"/>
                <w:sz w:val="32"/>
                <w:szCs w:val="32"/>
              </w:rPr>
              <w:t>分</w:t>
            </w:r>
          </w:p>
        </w:tc>
        <w:tc>
          <w:tcPr>
            <w:tcW w:w="4611" w:type="dxa"/>
            <w:vAlign w:val="top"/>
          </w:tcPr>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80" w:right="34"/>
              <w:jc w:val="both"/>
              <w:textAlignment w:val="baseline"/>
              <w:rPr>
                <w:rFonts w:hint="eastAsia" w:ascii="仿宋" w:hAnsi="仿宋" w:eastAsia="仿宋" w:cs="仿宋"/>
                <w:sz w:val="32"/>
                <w:szCs w:val="32"/>
              </w:rPr>
            </w:pPr>
            <w:r>
              <w:rPr>
                <w:rFonts w:hint="eastAsia" w:ascii="仿宋" w:hAnsi="仿宋" w:eastAsia="仿宋" w:cs="仿宋"/>
                <w:spacing w:val="17"/>
                <w:sz w:val="32"/>
                <w:szCs w:val="32"/>
              </w:rPr>
              <w:t>10.监督检查结果为一般以</w:t>
            </w:r>
            <w:r>
              <w:rPr>
                <w:rFonts w:hint="eastAsia" w:ascii="仿宋" w:hAnsi="仿宋" w:eastAsia="仿宋" w:cs="仿宋"/>
                <w:spacing w:val="6"/>
                <w:sz w:val="32"/>
                <w:szCs w:val="32"/>
              </w:rPr>
              <w:t xml:space="preserve"> </w:t>
            </w:r>
            <w:r>
              <w:rPr>
                <w:rFonts w:hint="eastAsia" w:ascii="仿宋" w:hAnsi="仿宋" w:eastAsia="仿宋" w:cs="仿宋"/>
                <w:spacing w:val="13"/>
                <w:sz w:val="32"/>
                <w:szCs w:val="32"/>
              </w:rPr>
              <w:t>下或者存在违法违规问题，</w:t>
            </w:r>
            <w:r>
              <w:rPr>
                <w:rFonts w:hint="eastAsia" w:ascii="仿宋" w:hAnsi="仿宋" w:eastAsia="仿宋" w:cs="仿宋"/>
                <w:spacing w:val="2"/>
                <w:sz w:val="32"/>
                <w:szCs w:val="32"/>
              </w:rPr>
              <w:t xml:space="preserve"> </w:t>
            </w:r>
            <w:r>
              <w:rPr>
                <w:rFonts w:hint="eastAsia" w:ascii="仿宋" w:hAnsi="仿宋" w:eastAsia="仿宋" w:cs="仿宋"/>
                <w:spacing w:val="5"/>
                <w:sz w:val="32"/>
                <w:szCs w:val="32"/>
              </w:rPr>
              <w:t>产品监督抽检或者预警监测</w:t>
            </w:r>
            <w:r>
              <w:rPr>
                <w:rFonts w:hint="eastAsia" w:ascii="仿宋" w:hAnsi="仿宋" w:eastAsia="仿宋" w:cs="仿宋"/>
                <w:spacing w:val="2"/>
                <w:sz w:val="32"/>
                <w:szCs w:val="32"/>
              </w:rPr>
              <w:t>结果为不合格信息</w:t>
            </w:r>
          </w:p>
        </w:tc>
        <w:tc>
          <w:tcPr>
            <w:tcW w:w="689" w:type="dxa"/>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65"/>
              <w:textAlignment w:val="baseline"/>
              <w:rPr>
                <w:rFonts w:hint="eastAsia" w:ascii="仿宋" w:hAnsi="仿宋" w:eastAsia="仿宋" w:cs="仿宋"/>
                <w:sz w:val="32"/>
                <w:szCs w:val="32"/>
              </w:rPr>
            </w:pPr>
            <w:r>
              <w:rPr>
                <w:rFonts w:hint="eastAsia" w:ascii="仿宋" w:hAnsi="仿宋" w:eastAsia="仿宋" w:cs="仿宋"/>
                <w:spacing w:val="2"/>
                <w:sz w:val="32"/>
                <w:szCs w:val="32"/>
              </w:rPr>
              <w:t>-15</w:t>
            </w:r>
          </w:p>
        </w:tc>
        <w:tc>
          <w:tcPr>
            <w:tcW w:w="2057" w:type="dxa"/>
            <w:vAlign w:val="top"/>
          </w:tcPr>
          <w:p>
            <w:pPr>
              <w:keepNext w:val="0"/>
              <w:keepLines w:val="0"/>
              <w:pageBreakBefore w:val="0"/>
              <w:widowControl/>
              <w:kinsoku w:val="0"/>
              <w:wordWrap/>
              <w:overflowPunct/>
              <w:topLinePunct w:val="0"/>
              <w:autoSpaceDE w:val="0"/>
              <w:autoSpaceDN w:val="0"/>
              <w:bidi w:val="0"/>
              <w:adjustRightInd w:val="0"/>
              <w:snapToGrid w:val="0"/>
              <w:spacing w:before="186" w:line="560" w:lineRule="exact"/>
              <w:ind w:left="86" w:right="40"/>
              <w:textAlignment w:val="baseline"/>
              <w:rPr>
                <w:rFonts w:hint="eastAsia" w:ascii="仿宋" w:hAnsi="仿宋" w:eastAsia="仿宋" w:cs="仿宋"/>
                <w:sz w:val="32"/>
                <w:szCs w:val="32"/>
              </w:rPr>
            </w:pPr>
            <w:r>
              <w:rPr>
                <w:rFonts w:hint="eastAsia" w:ascii="仿宋" w:hAnsi="仿宋" w:eastAsia="仿宋" w:cs="仿宋"/>
                <w:spacing w:val="3"/>
                <w:sz w:val="32"/>
                <w:szCs w:val="32"/>
              </w:rPr>
              <w:t>市部级检查</w:t>
            </w:r>
            <w:r>
              <w:rPr>
                <w:rFonts w:hint="eastAsia" w:ascii="仿宋" w:hAnsi="仿宋" w:eastAsia="仿宋" w:cs="仿宋"/>
                <w:sz w:val="32"/>
                <w:szCs w:val="32"/>
              </w:rPr>
              <w:t xml:space="preserve">   </w:t>
            </w:r>
            <w:r>
              <w:rPr>
                <w:rFonts w:hint="eastAsia" w:ascii="仿宋" w:hAnsi="仿宋" w:eastAsia="仿宋" w:cs="仿宋"/>
                <w:spacing w:val="2"/>
                <w:sz w:val="32"/>
                <w:szCs w:val="32"/>
              </w:rPr>
              <w:t>扣5分，其他</w:t>
            </w:r>
            <w:r>
              <w:rPr>
                <w:rFonts w:hint="eastAsia" w:ascii="仿宋" w:hAnsi="仿宋" w:eastAsia="仿宋" w:cs="仿宋"/>
                <w:sz w:val="32"/>
                <w:szCs w:val="32"/>
              </w:rPr>
              <w:t xml:space="preserve">  </w:t>
            </w:r>
            <w:r>
              <w:rPr>
                <w:rFonts w:hint="eastAsia" w:ascii="仿宋" w:hAnsi="仿宋" w:eastAsia="仿宋" w:cs="仿宋"/>
                <w:spacing w:val="26"/>
                <w:sz w:val="32"/>
                <w:szCs w:val="32"/>
              </w:rPr>
              <w:t>检查扣3分；</w:t>
            </w:r>
            <w:r>
              <w:rPr>
                <w:rFonts w:hint="eastAsia" w:ascii="仿宋" w:hAnsi="仿宋" w:eastAsia="仿宋" w:cs="仿宋"/>
                <w:spacing w:val="3"/>
                <w:sz w:val="32"/>
                <w:szCs w:val="32"/>
              </w:rPr>
              <w:t xml:space="preserve"> 每个批次不</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86"/>
              <w:textAlignment w:val="baseline"/>
              <w:rPr>
                <w:rFonts w:hint="eastAsia" w:ascii="仿宋" w:hAnsi="仿宋" w:eastAsia="仿宋" w:cs="仿宋"/>
                <w:sz w:val="32"/>
                <w:szCs w:val="32"/>
              </w:rPr>
            </w:pPr>
            <w:r>
              <w:rPr>
                <w:rFonts w:hint="eastAsia" w:ascii="仿宋" w:hAnsi="仿宋" w:eastAsia="仿宋" w:cs="仿宋"/>
                <w:spacing w:val="6"/>
                <w:sz w:val="32"/>
                <w:szCs w:val="32"/>
              </w:rPr>
              <w:t>合格扣3-5</w:t>
            </w:r>
          </w:p>
          <w:p>
            <w:pPr>
              <w:keepNext w:val="0"/>
              <w:keepLines w:val="0"/>
              <w:pageBreakBefore w:val="0"/>
              <w:widowControl/>
              <w:kinsoku w:val="0"/>
              <w:wordWrap/>
              <w:overflowPunct/>
              <w:topLinePunct w:val="0"/>
              <w:autoSpaceDE w:val="0"/>
              <w:autoSpaceDN w:val="0"/>
              <w:bidi w:val="0"/>
              <w:adjustRightInd w:val="0"/>
              <w:snapToGrid w:val="0"/>
              <w:spacing w:before="249" w:line="560" w:lineRule="exact"/>
              <w:ind w:left="86"/>
              <w:textAlignment w:val="baseline"/>
              <w:rPr>
                <w:rFonts w:hint="eastAsia" w:ascii="仿宋" w:hAnsi="仿宋" w:eastAsia="仿宋" w:cs="仿宋"/>
                <w:sz w:val="32"/>
                <w:szCs w:val="32"/>
              </w:rPr>
            </w:pPr>
            <w:r>
              <w:rPr>
                <w:rFonts w:hint="eastAsia" w:ascii="仿宋" w:hAnsi="仿宋" w:eastAsia="仿宋" w:cs="仿宋"/>
                <w:spacing w:val="3"/>
                <w:position w:val="23"/>
                <w:sz w:val="32"/>
                <w:szCs w:val="32"/>
              </w:rPr>
              <w:t>分，市部级5</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86"/>
              <w:textAlignment w:val="baseline"/>
              <w:rPr>
                <w:rFonts w:hint="eastAsia" w:ascii="仿宋" w:hAnsi="仿宋" w:eastAsia="仿宋" w:cs="仿宋"/>
                <w:sz w:val="32"/>
                <w:szCs w:val="32"/>
              </w:rPr>
            </w:pPr>
            <w:r>
              <w:rPr>
                <w:rFonts w:hint="eastAsia" w:ascii="仿宋" w:hAnsi="仿宋" w:eastAsia="仿宋" w:cs="仿宋"/>
                <w:spacing w:val="2"/>
                <w:sz w:val="32"/>
                <w:szCs w:val="32"/>
              </w:rPr>
              <w:t>分，其他3分</w:t>
            </w:r>
          </w:p>
        </w:tc>
        <w:tc>
          <w:tcPr>
            <w:tcW w:w="664" w:type="dxa"/>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32"/>
                <w:szCs w:val="32"/>
              </w:rPr>
            </w:pPr>
          </w:p>
        </w:tc>
      </w:tr>
    </w:tbl>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32"/>
          <w:szCs w:val="32"/>
        </w:rPr>
        <w:sectPr>
          <w:pgSz w:w="12230" w:h="17050"/>
          <w:pgMar w:top="1449" w:right="1314" w:bottom="400" w:left="1834" w:header="0" w:footer="0"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32"/>
          <w:szCs w:val="32"/>
        </w:rPr>
      </w:pPr>
      <w:r>
        <w:rPr>
          <w:rFonts w:hint="eastAsia" w:ascii="仿宋" w:hAnsi="仿宋" w:eastAsia="仿宋" w:cs="仿宋"/>
          <w:sz w:val="32"/>
          <w:szCs w:val="32"/>
        </w:rPr>
        <mc:AlternateContent>
          <mc:Choice Requires="wps">
            <w:drawing>
              <wp:anchor distT="0" distB="0" distL="114300" distR="114300" simplePos="0" relativeHeight="251663360" behindDoc="0" locked="0" layoutInCell="0" allowOverlap="1">
                <wp:simplePos x="0" y="0"/>
                <wp:positionH relativeFrom="page">
                  <wp:posOffset>7035800</wp:posOffset>
                </wp:positionH>
                <wp:positionV relativeFrom="page">
                  <wp:posOffset>1805305</wp:posOffset>
                </wp:positionV>
                <wp:extent cx="211455" cy="213995"/>
                <wp:effectExtent l="0" t="0" r="0" b="0"/>
                <wp:wrapNone/>
                <wp:docPr id="5" name="文本框 5"/>
                <wp:cNvGraphicFramePr/>
                <a:graphic xmlns:a="http://schemas.openxmlformats.org/drawingml/2006/main">
                  <a:graphicData uri="http://schemas.microsoft.com/office/word/2010/wordprocessingShape">
                    <wps:wsp>
                      <wps:cNvSpPr txBox="1"/>
                      <wps:spPr>
                        <a:xfrm>
                          <a:off x="0" y="0"/>
                          <a:ext cx="211455" cy="213995"/>
                        </a:xfrm>
                        <a:prstGeom prst="rect">
                          <a:avLst/>
                        </a:prstGeom>
                        <a:noFill/>
                        <a:ln>
                          <a:noFill/>
                        </a:ln>
                      </wps:spPr>
                      <wps:txbx>
                        <w:txbxContent>
                          <w:p>
                            <w:pPr>
                              <w:spacing w:before="19" w:line="177" w:lineRule="auto"/>
                              <w:ind w:left="20"/>
                              <w:rPr>
                                <w:rFonts w:ascii="黑体" w:hAnsi="黑体" w:eastAsia="黑体" w:cs="黑体"/>
                                <w:sz w:val="31"/>
                                <w:szCs w:val="31"/>
                              </w:rPr>
                            </w:pPr>
                          </w:p>
                        </w:txbxContent>
                      </wps:txbx>
                      <wps:bodyPr lIns="0" tIns="0" rIns="0" bIns="0" upright="1"/>
                    </wps:wsp>
                  </a:graphicData>
                </a:graphic>
              </wp:anchor>
            </w:drawing>
          </mc:Choice>
          <mc:Fallback>
            <w:pict>
              <v:shape id="_x0000_s1026" o:spid="_x0000_s1026" o:spt="202" type="#_x0000_t202" style="position:absolute;left:0pt;margin-left:554pt;margin-top:142.15pt;height:16.85pt;width:16.65pt;mso-position-horizontal-relative:page;mso-position-vertical-relative:page;z-index:251663360;mso-width-relative:page;mso-height-relative:page;" filled="f" stroked="f" coordsize="21600,21600" o:allowincell="f" o:gfxdata="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su2XR2QAAAA0BAAAPAAAAAAAAAAEAIAAAACIAAABkcnMvZG93bnJldi54bWxQSwEC&#10;FAAUAAAACACHTuJAXZeGMboBAABxAwAADgAAAAAAAAABACAAAAAoAQAAZHJzL2Uyb0RvYy54bWxQ&#10;SwUGAAAAAAYABgBZAQAAVAUAAAAA&#10;">
                <v:fill on="f" focussize="0,0"/>
                <v:stroke on="f"/>
                <v:imagedata o:title=""/>
                <o:lock v:ext="edit" aspectratio="f"/>
                <v:textbox inset="0mm,0mm,0mm,0mm">
                  <w:txbxContent>
                    <w:p>
                      <w:pPr>
                        <w:spacing w:before="19" w:line="177" w:lineRule="auto"/>
                        <w:ind w:left="20"/>
                        <w:rPr>
                          <w:rFonts w:ascii="黑体" w:hAnsi="黑体" w:eastAsia="黑体" w:cs="黑体"/>
                          <w:sz w:val="31"/>
                          <w:szCs w:val="31"/>
                        </w:rPr>
                      </w:pPr>
                    </w:p>
                  </w:txbxContent>
                </v:textbox>
              </v:shape>
            </w:pict>
          </mc:Fallback>
        </mc:AlternateContent>
      </w:r>
    </w:p>
    <w:tbl>
      <w:tblPr>
        <w:tblStyle w:val="6"/>
        <w:tblW w:w="85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4"/>
        <w:gridCol w:w="4115"/>
        <w:gridCol w:w="699"/>
        <w:gridCol w:w="2058"/>
        <w:gridCol w:w="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9" w:hRule="atLeast"/>
          <w:jc w:val="center"/>
        </w:trPr>
        <w:tc>
          <w:tcPr>
            <w:tcW w:w="1004" w:type="dxa"/>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32"/>
                <w:szCs w:val="32"/>
              </w:rPr>
            </w:pPr>
          </w:p>
        </w:tc>
        <w:tc>
          <w:tcPr>
            <w:tcW w:w="4115" w:type="dxa"/>
            <w:vAlign w:val="top"/>
          </w:tcPr>
          <w:p>
            <w:pPr>
              <w:keepNext w:val="0"/>
              <w:keepLines w:val="0"/>
              <w:pageBreakBefore w:val="0"/>
              <w:widowControl/>
              <w:kinsoku w:val="0"/>
              <w:wordWrap/>
              <w:overflowPunct/>
              <w:topLinePunct w:val="0"/>
              <w:autoSpaceDE w:val="0"/>
              <w:autoSpaceDN w:val="0"/>
              <w:bidi w:val="0"/>
              <w:adjustRightInd w:val="0"/>
              <w:snapToGrid w:val="0"/>
              <w:spacing w:before="158" w:line="560" w:lineRule="exact"/>
              <w:ind w:left="90" w:right="137"/>
              <w:jc w:val="both"/>
              <w:textAlignment w:val="baseline"/>
              <w:rPr>
                <w:rFonts w:hint="eastAsia" w:ascii="仿宋" w:hAnsi="仿宋" w:eastAsia="仿宋" w:cs="仿宋"/>
                <w:sz w:val="32"/>
                <w:szCs w:val="32"/>
              </w:rPr>
            </w:pPr>
            <w:r>
              <w:rPr>
                <w:rFonts w:hint="eastAsia" w:ascii="仿宋" w:hAnsi="仿宋" w:eastAsia="仿宋" w:cs="仿宋"/>
                <w:spacing w:val="13"/>
                <w:sz w:val="32"/>
                <w:szCs w:val="32"/>
              </w:rPr>
              <w:t>11.受到行政强制措施或者</w:t>
            </w:r>
            <w:r>
              <w:rPr>
                <w:rFonts w:hint="eastAsia" w:ascii="仿宋" w:hAnsi="仿宋" w:eastAsia="仿宋" w:cs="仿宋"/>
                <w:spacing w:val="5"/>
                <w:sz w:val="32"/>
                <w:szCs w:val="32"/>
              </w:rPr>
              <w:t xml:space="preserve"> </w:t>
            </w:r>
            <w:r>
              <w:rPr>
                <w:rFonts w:hint="eastAsia" w:ascii="仿宋" w:hAnsi="仿宋" w:eastAsia="仿宋" w:cs="仿宋"/>
                <w:spacing w:val="2"/>
                <w:sz w:val="32"/>
                <w:szCs w:val="32"/>
              </w:rPr>
              <w:t>行政处罚信息，同地区、同</w:t>
            </w:r>
            <w:r>
              <w:rPr>
                <w:rFonts w:hint="eastAsia" w:ascii="仿宋" w:hAnsi="仿宋" w:eastAsia="仿宋" w:cs="仿宋"/>
                <w:spacing w:val="3"/>
                <w:sz w:val="32"/>
                <w:szCs w:val="32"/>
              </w:rPr>
              <w:t xml:space="preserve"> 行业负面评价，其他被证实</w:t>
            </w:r>
            <w:r>
              <w:rPr>
                <w:rFonts w:hint="eastAsia" w:ascii="仿宋" w:hAnsi="仿宋" w:eastAsia="仿宋" w:cs="仿宋"/>
                <w:sz w:val="32"/>
                <w:szCs w:val="32"/>
              </w:rPr>
              <w:t xml:space="preserve"> </w:t>
            </w:r>
            <w:r>
              <w:rPr>
                <w:rFonts w:hint="eastAsia" w:ascii="仿宋" w:hAnsi="仿宋" w:eastAsia="仿宋" w:cs="仿宋"/>
                <w:spacing w:val="1"/>
                <w:sz w:val="32"/>
                <w:szCs w:val="32"/>
              </w:rPr>
              <w:t>的信访举报、媒体曝光、商业欺诈、失信违约信息等</w:t>
            </w:r>
          </w:p>
        </w:tc>
        <w:tc>
          <w:tcPr>
            <w:tcW w:w="699" w:type="dxa"/>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106"/>
              <w:textAlignment w:val="baseline"/>
              <w:rPr>
                <w:rFonts w:hint="eastAsia" w:ascii="仿宋" w:hAnsi="仿宋" w:eastAsia="仿宋" w:cs="仿宋"/>
                <w:sz w:val="32"/>
                <w:szCs w:val="32"/>
              </w:rPr>
            </w:pPr>
            <w:r>
              <w:rPr>
                <w:rFonts w:hint="eastAsia" w:ascii="仿宋" w:hAnsi="仿宋" w:eastAsia="仿宋" w:cs="仿宋"/>
                <w:spacing w:val="2"/>
                <w:sz w:val="32"/>
                <w:szCs w:val="32"/>
              </w:rPr>
              <w:t>-15</w:t>
            </w:r>
          </w:p>
        </w:tc>
        <w:tc>
          <w:tcPr>
            <w:tcW w:w="2058" w:type="dxa"/>
            <w:vAlign w:val="top"/>
          </w:tcPr>
          <w:p>
            <w:pPr>
              <w:keepNext w:val="0"/>
              <w:keepLines w:val="0"/>
              <w:pageBreakBefore w:val="0"/>
              <w:widowControl/>
              <w:kinsoku w:val="0"/>
              <w:wordWrap/>
              <w:overflowPunct/>
              <w:topLinePunct w:val="0"/>
              <w:autoSpaceDE w:val="0"/>
              <w:autoSpaceDN w:val="0"/>
              <w:bidi w:val="0"/>
              <w:adjustRightInd w:val="0"/>
              <w:snapToGrid w:val="0"/>
              <w:spacing w:before="147" w:line="560" w:lineRule="exact"/>
              <w:ind w:left="107" w:right="167"/>
              <w:textAlignment w:val="baseline"/>
              <w:rPr>
                <w:rFonts w:hint="eastAsia" w:ascii="仿宋" w:hAnsi="仿宋" w:eastAsia="仿宋" w:cs="仿宋"/>
                <w:sz w:val="32"/>
                <w:szCs w:val="32"/>
              </w:rPr>
            </w:pPr>
            <w:r>
              <w:rPr>
                <w:rFonts w:hint="eastAsia" w:ascii="仿宋" w:hAnsi="仿宋" w:eastAsia="仿宋" w:cs="仿宋"/>
                <w:spacing w:val="3"/>
                <w:sz w:val="32"/>
                <w:szCs w:val="32"/>
              </w:rPr>
              <w:t>行政处罚一</w:t>
            </w:r>
            <w:r>
              <w:rPr>
                <w:rFonts w:hint="eastAsia" w:ascii="仿宋" w:hAnsi="仿宋" w:eastAsia="仿宋" w:cs="仿宋"/>
                <w:sz w:val="32"/>
                <w:szCs w:val="32"/>
              </w:rPr>
              <w:t xml:space="preserve">  </w:t>
            </w:r>
            <w:r>
              <w:rPr>
                <w:rFonts w:hint="eastAsia" w:ascii="仿宋" w:hAnsi="仿宋" w:eastAsia="仿宋" w:cs="仿宋"/>
                <w:spacing w:val="2"/>
                <w:sz w:val="32"/>
                <w:szCs w:val="32"/>
              </w:rPr>
              <w:t>次扣5分，其</w:t>
            </w:r>
            <w:r>
              <w:rPr>
                <w:rFonts w:hint="eastAsia" w:ascii="仿宋" w:hAnsi="仿宋" w:eastAsia="仿宋" w:cs="仿宋"/>
                <w:sz w:val="32"/>
                <w:szCs w:val="32"/>
              </w:rPr>
              <w:t xml:space="preserve"> </w:t>
            </w:r>
            <w:r>
              <w:rPr>
                <w:rFonts w:hint="eastAsia" w:ascii="仿宋" w:hAnsi="仿宋" w:eastAsia="仿宋" w:cs="仿宋"/>
                <w:spacing w:val="6"/>
                <w:sz w:val="32"/>
                <w:szCs w:val="32"/>
              </w:rPr>
              <w:t>他问题一次</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107"/>
              <w:textAlignment w:val="baseline"/>
              <w:rPr>
                <w:rFonts w:hint="eastAsia" w:ascii="仿宋" w:hAnsi="仿宋" w:eastAsia="仿宋" w:cs="仿宋"/>
                <w:sz w:val="32"/>
                <w:szCs w:val="32"/>
              </w:rPr>
            </w:pPr>
            <w:r>
              <w:rPr>
                <w:rFonts w:hint="eastAsia" w:ascii="仿宋" w:hAnsi="仿宋" w:eastAsia="仿宋" w:cs="仿宋"/>
                <w:spacing w:val="4"/>
                <w:sz w:val="32"/>
                <w:szCs w:val="32"/>
              </w:rPr>
              <w:t>扣5分</w:t>
            </w:r>
          </w:p>
        </w:tc>
        <w:tc>
          <w:tcPr>
            <w:tcW w:w="664" w:type="dxa"/>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7876" w:type="dxa"/>
            <w:gridSpan w:val="4"/>
            <w:vAlign w:val="top"/>
          </w:tcPr>
          <w:p>
            <w:pPr>
              <w:spacing w:before="199" w:line="219" w:lineRule="auto"/>
              <w:ind w:left="104"/>
              <w:rPr>
                <w:rFonts w:ascii="宋体" w:hAnsi="宋体" w:eastAsia="宋体" w:cs="宋体"/>
                <w:sz w:val="32"/>
                <w:szCs w:val="32"/>
              </w:rPr>
            </w:pPr>
            <w:r>
              <w:rPr>
                <w:rFonts w:ascii="宋体" w:hAnsi="宋体" w:eastAsia="宋体" w:cs="宋体"/>
                <w:spacing w:val="3"/>
                <w:sz w:val="32"/>
                <w:szCs w:val="32"/>
              </w:rPr>
              <w:t>合计得分</w:t>
            </w:r>
          </w:p>
        </w:tc>
        <w:tc>
          <w:tcPr>
            <w:tcW w:w="664" w:type="dxa"/>
            <w:vAlign w:val="top"/>
          </w:tcPr>
          <w:p>
            <w:pPr>
              <w:rPr>
                <w:rFonts w:ascii="Arial"/>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jc w:val="center"/>
        </w:trPr>
        <w:tc>
          <w:tcPr>
            <w:tcW w:w="1004" w:type="dxa"/>
            <w:vAlign w:val="top"/>
          </w:tcPr>
          <w:p>
            <w:pPr>
              <w:spacing w:before="158" w:line="625" w:lineRule="exact"/>
              <w:ind w:left="75"/>
              <w:rPr>
                <w:rFonts w:ascii="宋体" w:hAnsi="宋体" w:eastAsia="宋体" w:cs="宋体"/>
                <w:sz w:val="32"/>
                <w:szCs w:val="32"/>
              </w:rPr>
            </w:pPr>
            <w:r>
              <w:rPr>
                <w:rFonts w:ascii="宋体" w:hAnsi="宋体" w:eastAsia="宋体" w:cs="宋体"/>
                <w:spacing w:val="6"/>
                <w:position w:val="23"/>
                <w:sz w:val="32"/>
                <w:szCs w:val="32"/>
              </w:rPr>
              <w:t>评价</w:t>
            </w:r>
          </w:p>
          <w:p>
            <w:pPr>
              <w:spacing w:before="1" w:line="220" w:lineRule="auto"/>
              <w:ind w:left="75"/>
              <w:rPr>
                <w:rFonts w:ascii="宋体" w:hAnsi="宋体" w:eastAsia="宋体" w:cs="宋体"/>
                <w:sz w:val="32"/>
                <w:szCs w:val="32"/>
              </w:rPr>
            </w:pPr>
            <w:r>
              <w:rPr>
                <w:rFonts w:ascii="宋体" w:hAnsi="宋体" w:eastAsia="宋体" w:cs="宋体"/>
                <w:spacing w:val="21"/>
                <w:sz w:val="32"/>
                <w:szCs w:val="32"/>
              </w:rPr>
              <w:t>人员</w:t>
            </w:r>
          </w:p>
          <w:p>
            <w:pPr>
              <w:spacing w:before="225" w:line="219" w:lineRule="auto"/>
              <w:ind w:left="75"/>
              <w:rPr>
                <w:rFonts w:ascii="宋体" w:hAnsi="宋体" w:eastAsia="宋体" w:cs="宋体"/>
                <w:sz w:val="32"/>
                <w:szCs w:val="32"/>
              </w:rPr>
            </w:pPr>
            <w:r>
              <w:rPr>
                <w:rFonts w:ascii="宋体" w:hAnsi="宋体" w:eastAsia="宋体" w:cs="宋体"/>
                <w:spacing w:val="7"/>
                <w:sz w:val="32"/>
                <w:szCs w:val="32"/>
              </w:rPr>
              <w:t>签字</w:t>
            </w:r>
          </w:p>
        </w:tc>
        <w:tc>
          <w:tcPr>
            <w:tcW w:w="7536" w:type="dxa"/>
            <w:gridSpan w:val="4"/>
            <w:vAlign w:val="top"/>
          </w:tcPr>
          <w:p>
            <w:pPr>
              <w:rPr>
                <w:rFonts w:ascii="Arial"/>
                <w:sz w:val="32"/>
                <w:szCs w:val="32"/>
              </w:rPr>
            </w:pPr>
          </w:p>
        </w:tc>
      </w:tr>
    </w:tbl>
    <w:p>
      <w:pPr>
        <w:spacing w:before="167" w:line="219" w:lineRule="auto"/>
        <w:ind w:left="75"/>
        <w:rPr>
          <w:rFonts w:ascii="宋体" w:hAnsi="宋体" w:eastAsia="宋体" w:cs="宋体"/>
          <w:sz w:val="32"/>
          <w:szCs w:val="32"/>
        </w:rPr>
      </w:pPr>
      <w:r>
        <w:rPr>
          <w:rFonts w:ascii="宋体" w:hAnsi="宋体" w:eastAsia="宋体" w:cs="宋体"/>
          <w:spacing w:val="8"/>
          <w:sz w:val="32"/>
          <w:szCs w:val="32"/>
        </w:rPr>
        <w:t>说明：带★的检查内容为关键项。</w:t>
      </w:r>
    </w:p>
    <w:p>
      <w:pPr>
        <w:rPr>
          <w:sz w:val="32"/>
          <w:szCs w:val="32"/>
        </w:rPr>
      </w:pPr>
    </w:p>
    <w:sectPr>
      <w:pgSz w:w="12060" w:h="16930"/>
      <w:pgMar w:top="1439" w:right="667" w:bottom="400" w:left="944" w:header="0" w:footer="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0" w:lineRule="exact"/>
      <w:rPr>
        <w:rFonts w:ascii="Arial"/>
        <w:sz w:val="5"/>
      </w:rPr>
    </w:pPr>
    <w:r>
      <w:rPr>
        <w:sz w:val="5"/>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B0A4C7"/>
    <w:multiLevelType w:val="singleLevel"/>
    <w:tmpl w:val="A0B0A4C7"/>
    <w:lvl w:ilvl="0" w:tentative="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jNjA5NGVkZjJmNjViNjMzYTVjOWMwOWRmNWYzOGIifQ=="/>
  </w:docVars>
  <w:rsids>
    <w:rsidRoot w:val="7D735209"/>
    <w:rsid w:val="01B12E58"/>
    <w:rsid w:val="08FD4BD5"/>
    <w:rsid w:val="0C6C454B"/>
    <w:rsid w:val="1FDB75C6"/>
    <w:rsid w:val="284336B1"/>
    <w:rsid w:val="303B19BB"/>
    <w:rsid w:val="328C0A1C"/>
    <w:rsid w:val="35AF4FA9"/>
    <w:rsid w:val="3B961058"/>
    <w:rsid w:val="46E666CD"/>
    <w:rsid w:val="4F6665FD"/>
    <w:rsid w:val="52A336C4"/>
    <w:rsid w:val="54114B2B"/>
    <w:rsid w:val="54136627"/>
    <w:rsid w:val="58C919AA"/>
    <w:rsid w:val="5E7D126D"/>
    <w:rsid w:val="5F313E05"/>
    <w:rsid w:val="65D200F0"/>
    <w:rsid w:val="668138C4"/>
    <w:rsid w:val="6711338A"/>
    <w:rsid w:val="6DAD4F9F"/>
    <w:rsid w:val="72DF5BFA"/>
    <w:rsid w:val="75976C60"/>
    <w:rsid w:val="796D4EE1"/>
    <w:rsid w:val="7B332F87"/>
    <w:rsid w:val="7D341239"/>
    <w:rsid w:val="7D735209"/>
    <w:rsid w:val="7FF30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4651</Words>
  <Characters>4741</Characters>
  <Lines>0</Lines>
  <Paragraphs>0</Paragraphs>
  <TotalTime>40</TotalTime>
  <ScaleCrop>false</ScaleCrop>
  <LinksUpToDate>false</LinksUpToDate>
  <CharactersWithSpaces>5009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2023-01-16T04:09:00Z</dcterms:created>
  <dc:creator>dell</dc:creator>
  <cp:lastModifiedBy>dell</cp:lastModifiedBy>
  <dcterms:modified xsi:type="dcterms:W3CDTF">2023-01-16T06:44:54Z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99D7D9E4A24B44EB9C6A2C696C337D72</vt:lpwstr>
  </property>
</Properties>
</file>