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Times New Roman" w:hAnsi="Times New Roman" w:eastAsia="宋体" w:cs="宋体"/>
          <w:b/>
          <w:bCs/>
          <w:spacing w:val="-1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spacing w:val="-10"/>
          <w:sz w:val="44"/>
          <w:szCs w:val="44"/>
        </w:rPr>
        <w:t>关于龙亭区</w:t>
      </w:r>
      <w:r>
        <w:rPr>
          <w:rFonts w:hint="eastAsia" w:ascii="Times New Roman" w:hAnsi="Times New Roman" w:eastAsia="宋体" w:cs="宋体"/>
          <w:b/>
          <w:bCs/>
          <w:spacing w:val="-10"/>
          <w:sz w:val="44"/>
          <w:szCs w:val="44"/>
          <w:lang w:eastAsia="zh-CN"/>
        </w:rPr>
        <w:t>2023</w:t>
      </w:r>
      <w:r>
        <w:rPr>
          <w:rFonts w:hint="eastAsia" w:ascii="Times New Roman" w:hAnsi="Times New Roman" w:eastAsia="宋体" w:cs="宋体"/>
          <w:b/>
          <w:bCs/>
          <w:spacing w:val="-10"/>
          <w:sz w:val="44"/>
          <w:szCs w:val="44"/>
        </w:rPr>
        <w:t>年预算执行情况和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Times New Roman" w:hAnsi="Times New Roman" w:eastAsia="宋体" w:cs="宋体"/>
          <w:b/>
          <w:bCs/>
          <w:spacing w:val="-1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spacing w:val="-10"/>
          <w:sz w:val="44"/>
          <w:szCs w:val="44"/>
          <w:lang w:eastAsia="zh-CN"/>
        </w:rPr>
        <w:t>2024</w:t>
      </w:r>
      <w:r>
        <w:rPr>
          <w:rFonts w:hint="eastAsia" w:ascii="Times New Roman" w:hAnsi="Times New Roman" w:eastAsia="宋体" w:cs="宋体"/>
          <w:b/>
          <w:bCs/>
          <w:spacing w:val="-10"/>
          <w:sz w:val="44"/>
          <w:szCs w:val="44"/>
        </w:rPr>
        <w:t>年预算草案的报告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ascii="Times New Roman" w:hAnsi="Times New Roman" w:eastAsia="楷体" w:cs="楷体"/>
          <w:spacing w:val="-5"/>
          <w:sz w:val="28"/>
          <w:szCs w:val="28"/>
        </w:rPr>
      </w:pPr>
      <w:r>
        <w:rPr>
          <w:rFonts w:ascii="Times New Roman" w:hAnsi="Times New Roman" w:eastAsia="楷体" w:cs="楷体"/>
          <w:spacing w:val="-10"/>
          <w:sz w:val="28"/>
          <w:szCs w:val="28"/>
        </w:rPr>
        <w:t>——</w:t>
      </w:r>
      <w:r>
        <w:rPr>
          <w:rFonts w:hint="eastAsia" w:ascii="Times New Roman" w:hAnsi="Times New Roman" w:eastAsia="楷体" w:cs="楷体"/>
          <w:spacing w:val="-10"/>
          <w:sz w:val="28"/>
          <w:szCs w:val="28"/>
          <w:lang w:eastAsia="zh-CN"/>
        </w:rPr>
        <w:t>2024</w:t>
      </w:r>
      <w:r>
        <w:rPr>
          <w:rFonts w:ascii="Times New Roman" w:hAnsi="Times New Roman" w:eastAsia="楷体" w:cs="楷体"/>
          <w:spacing w:val="-5"/>
          <w:sz w:val="28"/>
          <w:szCs w:val="28"/>
        </w:rPr>
        <w:t>年</w:t>
      </w:r>
      <w:r>
        <w:rPr>
          <w:rFonts w:hint="eastAsia" w:ascii="Times New Roman" w:hAnsi="Times New Roman" w:eastAsia="楷体" w:cs="楷体"/>
          <w:spacing w:val="-5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楷体" w:cs="楷体"/>
          <w:spacing w:val="-5"/>
          <w:sz w:val="28"/>
          <w:szCs w:val="28"/>
        </w:rPr>
        <w:t>月</w:t>
      </w:r>
      <w:r>
        <w:rPr>
          <w:rFonts w:hint="eastAsia" w:ascii="Times New Roman" w:hAnsi="Times New Roman" w:eastAsia="楷体" w:cs="楷体"/>
          <w:spacing w:val="-5"/>
          <w:sz w:val="28"/>
          <w:szCs w:val="28"/>
          <w:lang w:val="en-US" w:eastAsia="zh-CN"/>
        </w:rPr>
        <w:t>27</w:t>
      </w:r>
      <w:r>
        <w:rPr>
          <w:rFonts w:ascii="Times New Roman" w:hAnsi="Times New Roman" w:eastAsia="楷体" w:cs="楷体"/>
          <w:spacing w:val="-5"/>
          <w:sz w:val="28"/>
          <w:szCs w:val="28"/>
        </w:rPr>
        <w:t>日在</w:t>
      </w:r>
      <w:r>
        <w:rPr>
          <w:rFonts w:hint="eastAsia" w:ascii="Times New Roman" w:hAnsi="Times New Roman" w:eastAsia="楷体" w:cs="楷体"/>
          <w:spacing w:val="-5"/>
          <w:sz w:val="28"/>
          <w:szCs w:val="28"/>
          <w:lang w:eastAsia="zh-CN"/>
        </w:rPr>
        <w:t>龙亭区</w:t>
      </w:r>
      <w:r>
        <w:rPr>
          <w:rFonts w:ascii="Times New Roman" w:hAnsi="Times New Roman" w:eastAsia="楷体" w:cs="楷体"/>
          <w:spacing w:val="-5"/>
          <w:sz w:val="28"/>
          <w:szCs w:val="28"/>
        </w:rPr>
        <w:t>第</w:t>
      </w:r>
      <w:r>
        <w:rPr>
          <w:rFonts w:hint="eastAsia" w:ascii="Times New Roman" w:hAnsi="Times New Roman" w:eastAsia="楷体" w:cs="楷体"/>
          <w:spacing w:val="-5"/>
          <w:sz w:val="28"/>
          <w:szCs w:val="28"/>
          <w:lang w:val="en-US" w:eastAsia="zh-CN"/>
        </w:rPr>
        <w:t>十七届</w:t>
      </w:r>
      <w:r>
        <w:rPr>
          <w:rFonts w:ascii="Times New Roman" w:hAnsi="Times New Roman" w:eastAsia="楷体" w:cs="楷体"/>
          <w:spacing w:val="-5"/>
          <w:sz w:val="28"/>
          <w:szCs w:val="28"/>
        </w:rPr>
        <w:t>人民代表大会第</w:t>
      </w:r>
      <w:r>
        <w:rPr>
          <w:rFonts w:hint="eastAsia" w:ascii="Times New Roman" w:hAnsi="Times New Roman" w:eastAsia="楷体" w:cs="楷体"/>
          <w:spacing w:val="-5"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楷体" w:cs="楷体"/>
          <w:spacing w:val="-5"/>
          <w:sz w:val="28"/>
          <w:szCs w:val="28"/>
        </w:rPr>
        <w:t>次会议上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楷体" w:cs="楷体"/>
          <w:spacing w:val="-5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楷体"/>
          <w:spacing w:val="-5"/>
          <w:sz w:val="28"/>
          <w:szCs w:val="28"/>
          <w:lang w:eastAsia="zh-CN"/>
        </w:rPr>
        <w:t>龙亭区财政局局长</w:t>
      </w:r>
      <w:r>
        <w:rPr>
          <w:rFonts w:hint="eastAsia" w:ascii="Times New Roman" w:hAnsi="Times New Roman" w:eastAsia="楷体" w:cs="楷体"/>
          <w:spacing w:val="-5"/>
          <w:sz w:val="28"/>
          <w:szCs w:val="28"/>
          <w:lang w:val="en-US" w:eastAsia="zh-CN"/>
        </w:rPr>
        <w:t xml:space="preserve"> 高鹏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Times New Roman" w:hAnsi="Times New Roman"/>
          <w:sz w:val="21"/>
        </w:rPr>
      </w:pPr>
    </w:p>
    <w:p>
      <w:pPr>
        <w:keepNext w:val="0"/>
        <w:keepLines w:val="0"/>
        <w:pageBreakBefore w:val="0"/>
        <w:wordWrap/>
        <w:autoSpaceDE w:val="0"/>
        <w:autoSpaceDN w:val="0"/>
        <w:bidi w:val="0"/>
        <w:adjustRightInd w:val="0"/>
        <w:spacing w:before="101" w:line="600" w:lineRule="exact"/>
        <w:ind w:left="25"/>
        <w:jc w:val="both"/>
        <w:rPr>
          <w:rFonts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</w:rPr>
      </w:pPr>
      <w:r>
        <w:rPr>
          <w:rFonts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ordWrap/>
        <w:overflowPunct/>
        <w:autoSpaceDE w:val="0"/>
        <w:autoSpaceDN w:val="0"/>
        <w:bidi w:val="0"/>
        <w:adjustRightInd w:val="0"/>
        <w:spacing w:line="600" w:lineRule="exact"/>
        <w:ind w:left="34" w:right="72" w:firstLine="646"/>
        <w:jc w:val="both"/>
        <w:rPr>
          <w:rFonts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</w:rPr>
      </w:pPr>
      <w:r>
        <w:rPr>
          <w:rFonts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</w:rPr>
        <w:t>受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  <w:lang w:eastAsia="zh-CN"/>
        </w:rPr>
        <w:t>区</w:t>
      </w:r>
      <w:r>
        <w:rPr>
          <w:rFonts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</w:rPr>
        <w:t>政府委托，现将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  <w:lang w:eastAsia="zh-CN"/>
        </w:rPr>
        <w:t>2023</w:t>
      </w:r>
      <w:r>
        <w:rPr>
          <w:rFonts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</w:rPr>
        <w:t>年预算执行情况和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  <w:lang w:eastAsia="zh-CN"/>
        </w:rPr>
        <w:t>2024</w:t>
      </w:r>
      <w:r>
        <w:rPr>
          <w:rFonts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</w:rPr>
        <w:t>年预算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  <w:lang w:eastAsia="zh-CN"/>
        </w:rPr>
        <w:t>草</w:t>
      </w:r>
      <w:r>
        <w:rPr>
          <w:rFonts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</w:rPr>
        <w:t>案提请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  <w:lang w:eastAsia="zh-CN"/>
        </w:rPr>
        <w:t>区十七届</w:t>
      </w:r>
      <w:r>
        <w:rPr>
          <w:rFonts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</w:rPr>
        <w:t>人大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</w:rPr>
        <w:t>第四次</w:t>
      </w:r>
      <w:r>
        <w:rPr>
          <w:rFonts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</w:rPr>
        <w:t>会议审查，并请各位政协委员和其他列席人士提出意见。</w:t>
      </w:r>
    </w:p>
    <w:p>
      <w:pPr>
        <w:keepNext w:val="0"/>
        <w:keepLines w:val="0"/>
        <w:pageBreakBefore w:val="0"/>
        <w:wordWrap/>
        <w:overflowPunct/>
        <w:autoSpaceDE w:val="0"/>
        <w:autoSpaceDN w:val="0"/>
        <w:bidi w:val="0"/>
        <w:adjustRightInd w:val="0"/>
        <w:spacing w:line="600" w:lineRule="exact"/>
        <w:ind w:left="672"/>
        <w:jc w:val="both"/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</w:rPr>
      </w:pPr>
      <w:r>
        <w:rPr>
          <w:rFonts w:ascii="Times New Roman" w:hAnsi="Times New Roman" w:eastAsia="黑体" w:cs="黑体"/>
          <w:b w:val="0"/>
          <w:bCs w:val="0"/>
          <w:color w:val="auto"/>
          <w:spacing w:val="0"/>
          <w:w w:val="98"/>
          <w:sz w:val="32"/>
          <w:szCs w:val="32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w w:val="98"/>
          <w:sz w:val="32"/>
          <w:szCs w:val="32"/>
          <w:lang w:eastAsia="zh-CN"/>
        </w:rPr>
        <w:t>2023</w:t>
      </w:r>
      <w:r>
        <w:rPr>
          <w:rFonts w:ascii="Times New Roman" w:hAnsi="Times New Roman" w:eastAsia="黑体" w:cs="黑体"/>
          <w:b w:val="0"/>
          <w:bCs w:val="0"/>
          <w:color w:val="auto"/>
          <w:spacing w:val="0"/>
          <w:w w:val="98"/>
          <w:sz w:val="32"/>
          <w:szCs w:val="32"/>
        </w:rPr>
        <w:t>年预算执行情况</w:t>
      </w:r>
    </w:p>
    <w:p>
      <w:pPr>
        <w:keepNext w:val="0"/>
        <w:keepLines w:val="0"/>
        <w:pageBreakBefore w:val="0"/>
        <w:wordWrap/>
        <w:overflowPunct/>
        <w:autoSpaceDE w:val="0"/>
        <w:autoSpaceDN w:val="0"/>
        <w:bidi w:val="0"/>
        <w:adjustRightInd w:val="0"/>
        <w:spacing w:line="600" w:lineRule="exact"/>
        <w:ind w:left="34" w:right="72" w:firstLine="646"/>
        <w:jc w:val="both"/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  <w:lang w:val="en-US" w:eastAsia="zh-CN"/>
        </w:rPr>
        <w:t>2023年是全面贯彻落实党的二十大精神的开局之年，面对需求收紧、供给冲击与预期转弱三重压力，我们在区委的坚强领导下，在区人大、区政协的监督支持下，紧紧围绕上级的决策部署，着眼服务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  <w:highlight w:val="none"/>
          <w:lang w:val="en-US" w:eastAsia="zh-CN"/>
        </w:rPr>
        <w:t>区域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  <w:lang w:val="en-US" w:eastAsia="zh-CN"/>
        </w:rPr>
        <w:t>经济社会发展，坚守为民理财初心，立足拓财源、控支出、推改革、强管理、防风险，积极作为，开拓创新，实现全区经济社会健康平稳运行。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autoSpaceDE w:val="0"/>
        <w:autoSpaceDN w:val="0"/>
        <w:bidi w:val="0"/>
        <w:adjustRightInd w:val="0"/>
        <w:spacing w:line="600" w:lineRule="exact"/>
        <w:ind w:firstLine="629" w:firstLineChars="200"/>
        <w:jc w:val="both"/>
        <w:rPr>
          <w:rFonts w:hint="eastAsia" w:ascii="Times New Roman" w:hAnsi="Times New Roman" w:eastAsia="楷体" w:cs="楷体"/>
          <w:b/>
          <w:bCs/>
          <w:color w:val="auto"/>
          <w:spacing w:val="0"/>
          <w:w w:val="9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auto"/>
          <w:spacing w:val="0"/>
          <w:w w:val="98"/>
          <w:sz w:val="32"/>
          <w:szCs w:val="32"/>
          <w:lang w:val="en-US" w:eastAsia="zh-CN"/>
        </w:rPr>
        <w:t>（一）一般公共预算执行情况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0"/>
          <w:sz w:val="32"/>
          <w:szCs w:val="32"/>
          <w:lang w:val="en-US" w:eastAsia="zh-CN" w:bidi="ar-SA"/>
        </w:rPr>
        <w:t>全区收支情况。2023年全区一般公共预算收入完成23729万元，其中税收收入完成20194万元，税收比重85.1%。全区一般公共预算支出年初预算为45956万元，执行中因上级补助、上解等因素，支出预算调整为56148万元，实际完成44556万元，为年调整预算的79.4%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0"/>
          <w:sz w:val="32"/>
          <w:szCs w:val="32"/>
          <w:lang w:val="en-US" w:eastAsia="zh-CN" w:bidi="ar-SA"/>
        </w:rPr>
        <w:t>区本级收支情况。2023年区本级一般公共预算收入完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0"/>
          <w:sz w:val="32"/>
          <w:szCs w:val="32"/>
          <w:highlight w:val="none"/>
          <w:lang w:val="en-US" w:eastAsia="zh-CN" w:bidi="ar-SA"/>
        </w:rPr>
        <w:t>成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w w:val="98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15895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0"/>
          <w:sz w:val="32"/>
          <w:szCs w:val="32"/>
          <w:lang w:val="en-US" w:eastAsia="zh-CN" w:bidi="ar-SA"/>
        </w:rPr>
        <w:t>万元，为调整预算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0"/>
          <w:sz w:val="32"/>
          <w:szCs w:val="32"/>
          <w:highlight w:val="none"/>
          <w:lang w:val="en-US" w:eastAsia="zh-CN" w:bidi="ar-SA"/>
        </w:rPr>
        <w:t>的100.8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%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0"/>
          <w:sz w:val="32"/>
          <w:szCs w:val="32"/>
          <w:lang w:val="en-US" w:eastAsia="zh-CN" w:bidi="ar-SA"/>
        </w:rPr>
        <w:t>。区本级一般公共预算支出年初预算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0"/>
          <w:sz w:val="32"/>
          <w:szCs w:val="32"/>
          <w:highlight w:val="none"/>
          <w:lang w:val="en-US" w:eastAsia="zh-CN" w:bidi="ar-SA"/>
        </w:rPr>
        <w:t>为43633万元，执行中因上级补助、上解等因素，支出预算调整为52163万元，实际完成40571万元，为调整预算的77.8%。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autoSpaceDE w:val="0"/>
        <w:autoSpaceDN w:val="0"/>
        <w:bidi w:val="0"/>
        <w:adjustRightInd w:val="0"/>
        <w:spacing w:line="600" w:lineRule="exact"/>
        <w:ind w:left="674" w:leftChars="0"/>
        <w:jc w:val="both"/>
        <w:rPr>
          <w:rFonts w:hint="eastAsia" w:ascii="Times New Roman" w:hAnsi="Times New Roman" w:eastAsia="楷体" w:cs="楷体"/>
          <w:b/>
          <w:bCs/>
          <w:color w:val="auto"/>
          <w:spacing w:val="0"/>
          <w:w w:val="9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auto"/>
          <w:spacing w:val="0"/>
          <w:w w:val="98"/>
          <w:sz w:val="32"/>
          <w:szCs w:val="32"/>
          <w:highlight w:val="none"/>
          <w:lang w:val="en-US" w:eastAsia="zh-CN"/>
        </w:rPr>
        <w:t>（二）政府性基金预算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  <w:t>2023年政府性基金支出年初预算为416万元，执行中因上级补助、上解等因素，支出预算调整为5074万元，实际支出为8903万元，全部为上级追加指标。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autoSpaceDE w:val="0"/>
        <w:autoSpaceDN w:val="0"/>
        <w:bidi w:val="0"/>
        <w:adjustRightInd w:val="0"/>
        <w:spacing w:line="600" w:lineRule="exact"/>
        <w:ind w:left="674" w:leftChars="0"/>
        <w:jc w:val="both"/>
        <w:rPr>
          <w:rFonts w:hint="eastAsia" w:ascii="Times New Roman" w:hAnsi="Times New Roman" w:eastAsia="楷体" w:cs="楷体"/>
          <w:b/>
          <w:bCs/>
          <w:color w:val="auto"/>
          <w:spacing w:val="0"/>
          <w:w w:val="9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color w:val="auto"/>
          <w:spacing w:val="0"/>
          <w:w w:val="98"/>
          <w:sz w:val="32"/>
          <w:szCs w:val="32"/>
          <w:lang w:val="en-US" w:eastAsia="zh-CN"/>
        </w:rPr>
        <w:t>（三）政府债务相关情况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/>
        <w:autoSpaceDE w:val="0"/>
        <w:autoSpaceDN w:val="0"/>
        <w:bidi w:val="0"/>
        <w:adjustRightInd w:val="0"/>
        <w:snapToGrid/>
        <w:spacing w:line="600" w:lineRule="exact"/>
        <w:ind w:firstLine="626" w:firstLineChars="200"/>
        <w:jc w:val="both"/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lang w:val="en-US" w:eastAsia="zh-CN" w:bidi="ar-SA"/>
        </w:rPr>
        <w:t>根据财政部地方政府性债务管理系统数据，截至2023年底，区本级政府债务余额为16.61亿元，其中：一般债券2.39亿元，专项债券14.22亿元。2023年支付债券本息4617万元，其中一般债券还本62万元，付息300万元，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专项债券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lang w:val="en-US" w:eastAsia="zh-CN" w:bidi="ar-SA"/>
        </w:rPr>
        <w:t>付息4255万元</w:t>
      </w: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w w:val="98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ordWrap/>
        <w:overflowPunct/>
        <w:autoSpaceDE w:val="0"/>
        <w:autoSpaceDN w:val="0"/>
        <w:bidi w:val="0"/>
        <w:adjustRightInd w:val="0"/>
        <w:spacing w:line="600" w:lineRule="exact"/>
        <w:ind w:left="672"/>
        <w:jc w:val="both"/>
        <w:rPr>
          <w:rFonts w:ascii="Times New Roman" w:hAnsi="Times New Roman" w:eastAsia="黑体" w:cs="黑体"/>
          <w:b w:val="0"/>
          <w:bCs w:val="0"/>
          <w:color w:val="auto"/>
          <w:spacing w:val="0"/>
          <w:w w:val="98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w w:val="98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黑体" w:cs="黑体"/>
          <w:b w:val="0"/>
          <w:bCs w:val="0"/>
          <w:color w:val="auto"/>
          <w:spacing w:val="0"/>
          <w:w w:val="98"/>
          <w:sz w:val="32"/>
          <w:szCs w:val="32"/>
        </w:rPr>
        <w:t>落实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w w:val="98"/>
          <w:sz w:val="32"/>
          <w:szCs w:val="32"/>
          <w:lang w:eastAsia="zh-CN"/>
        </w:rPr>
        <w:t>区</w:t>
      </w:r>
      <w:r>
        <w:rPr>
          <w:rFonts w:ascii="Times New Roman" w:hAnsi="Times New Roman" w:eastAsia="黑体" w:cs="黑体"/>
          <w:b w:val="0"/>
          <w:bCs w:val="0"/>
          <w:color w:val="auto"/>
          <w:spacing w:val="0"/>
          <w:w w:val="98"/>
          <w:sz w:val="32"/>
          <w:szCs w:val="32"/>
        </w:rPr>
        <w:t>人大决议和主要财政工作情况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  <w:t>2023年，区财政紧紧围绕区十七届人大第三次会议确定的预算目标和任务，全面贯彻落实区委、区政府决策部署，认真组织实施积极的财政政策，统筹推进稳增长、促改革、调结构、惠民生、防风险、保稳定。虽然因经济下行和主导产业周期性调整等大形势影响，没有完成年初确定的收入任务，但全区财政运行总体平稳，为全区经济社会发展提供了坚实的财政保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  <w:t>——聚焦综合施策，支持经济运行更加平稳。面对经济下行压力持续加大，减收增支因素不断增多的困难局面，区财政部门积极协调税务部门加强收入监测分析，强化重点税源企业跟踪服务管理，依法依规组织收入，总收入税性比重85.1%，较上年提高21.5个百分点。坚决落实各项减免政策，全年减税降费共计119万元，有效降低企业负担，激励企业扩大生产投入，为未来收入增量涵养税源。大力激发市场活力，采取预留采购份额、价格评审优惠、优先采购等措施，支持中小微企业参与政府采购，区本级全年专门面向中小企业采购的小额采购项目6个，占总采购项目的100%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w w:val="9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  <w:t>——聚焦增进福祉，民生事业保障更加有力。坚持以人民为中心的发展思想，办好民生实事，解决好人民群众“急难愁盼”问题，全区民生支出3.3亿元，占一般公共预算支出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highlight w:val="none"/>
          <w:lang w:val="en-US" w:eastAsia="zh-CN" w:bidi="ar-SA"/>
        </w:rPr>
        <w:t>七成以上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  <w:t>。支持教育事业稳步发展。及时</w:t>
      </w:r>
      <w:r>
        <w:rPr>
          <w:rFonts w:hint="default" w:ascii="Times New Roman" w:hAnsi="Times New Roman" w:eastAsia="仿宋_GB2312" w:cs="Times New Roman"/>
          <w:color w:val="000000"/>
          <w:w w:val="98"/>
          <w:sz w:val="32"/>
          <w:szCs w:val="32"/>
          <w:highlight w:val="none"/>
        </w:rPr>
        <w:t>保障国家最新义务教育阶段基准定额年生均标准提高</w:t>
      </w:r>
      <w:r>
        <w:rPr>
          <w:rFonts w:hint="eastAsia" w:ascii="Times New Roman" w:hAnsi="Times New Roman" w:eastAsia="仿宋_GB2312" w:cs="Times New Roman"/>
          <w:color w:val="000000"/>
          <w:w w:val="98"/>
          <w:sz w:val="32"/>
          <w:szCs w:val="32"/>
          <w:highlight w:val="none"/>
          <w:lang w:eastAsia="zh-CN"/>
        </w:rPr>
        <w:t>，积极运用市级政策申请专项债券用于北区</w:t>
      </w:r>
      <w:r>
        <w:rPr>
          <w:rFonts w:hint="eastAsia" w:ascii="Times New Roman" w:hAnsi="Times New Roman" w:eastAsia="仿宋_GB2312" w:cs="Times New Roman"/>
          <w:color w:val="000000"/>
          <w:w w:val="98"/>
          <w:sz w:val="32"/>
          <w:szCs w:val="32"/>
          <w:highlight w:val="none"/>
          <w:lang w:val="en-US" w:eastAsia="zh-CN"/>
        </w:rPr>
        <w:t>6所幼儿园建设。着力兜住基本民生底线。推动直接兑付到人到户的惠民惠农财政资金通过“一卡通”系统集中线上发放，保障退役军人、高龄老人、低收入人群、特困人群、孤儿、残疾人等人群待遇。扎实推进乡村振兴战略。继续把农业农村作为一般公共预算优先保障领域，完善“三农”投入稳定增长机制，支持农业产业发展，夯实粮食安全根基，持续改善人居环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w w:val="9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  <w:t>——聚焦财政改革，提升财政效能。严格预算支出管理。把政府“过紧日子”作为长期坚持的方针政策，严控一般性支出，压减非急需非刚性支出，持续优化支出结构。全面实施零基预算改革，合理确定部门预算规模和具体支出结构。</w:t>
      </w:r>
      <w:r>
        <w:rPr>
          <w:rFonts w:hint="default" w:ascii="Times New Roman" w:hAnsi="Times New Roman" w:eastAsia="仿宋_GB2312" w:cs="Times New Roman"/>
          <w:color w:val="000000"/>
          <w:w w:val="98"/>
          <w:sz w:val="32"/>
          <w:szCs w:val="32"/>
          <w:highlight w:val="none"/>
          <w:lang w:val="en-US" w:eastAsia="zh-CN"/>
        </w:rPr>
        <w:t>深化预算管理制度改革</w:t>
      </w:r>
      <w:r>
        <w:rPr>
          <w:rFonts w:hint="eastAsia" w:ascii="Times New Roman" w:hAnsi="Times New Roman" w:eastAsia="仿宋_GB2312" w:cs="Times New Roman"/>
          <w:color w:val="000000"/>
          <w:w w:val="98"/>
          <w:sz w:val="32"/>
          <w:szCs w:val="32"/>
          <w:highlight w:val="none"/>
          <w:lang w:val="en-US" w:eastAsia="zh-CN"/>
        </w:rPr>
        <w:t>。充分运用预算管理一体化系统，对预算单位进行线上监管。在支出类型、收款方账户、单笔交易额、累计交易金额等方面做出合理限制或支付预警提示。打通了预算管理、政府采购、行政事业单位资产之间的数据壁垒，初步实现数据共享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w w:val="9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  <w:t>——</w:t>
      </w:r>
      <w:r>
        <w:rPr>
          <w:rFonts w:hint="eastAsia" w:ascii="Times New Roman" w:hAnsi="Times New Roman" w:eastAsia="仿宋_GB2312" w:cs="Times New Roman"/>
          <w:color w:val="000000"/>
          <w:w w:val="98"/>
          <w:sz w:val="32"/>
          <w:szCs w:val="32"/>
          <w:highlight w:val="none"/>
          <w:lang w:val="en-US" w:eastAsia="zh-CN"/>
        </w:rPr>
        <w:t>聚焦风险防控，筑牢安全底线。按照上级部门对财会监督工作的部署，开展严肃财经纪律专项监督检查、“三公”经费专项整治、代理记账行业违法违规行为专项整治等工作。稳妥化解存量债务，牵头制定《龙亭区防范化解债务风险工作方案》，完成防范化解地方债务风险“1+N+X”方案编制工作，严格落实“一债一策”，多措并举化解存量债务，成功获批全国隐性债务试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  <w:t>各位代表，在区委、区政府科学决策和坚强领导下，在区人大依法监督和区政协民主监督下，全区人民凝心聚力、奋勇拼搏，财政改革发展取得新成就，各项事业迈上新台阶。同时，我们也清醒地认识到财政运行依然面临一些困难和问题：一是财政收入增长压力大。后疫情时代，消费市场恢复缓慢，经营主体困难多，加之我区骨干税源企业支撑不足，新兴产业尚未形成，税源结构单一，财源建设增长提质任务任重道远。二是财政支出保障压力持续增大。今年以来上级转移支付增长有限，但重点支出和新增刚性支出、财政负担的债务还本付息、民生领域重点工程建设等支出持续增大，收支矛盾异常突出，财政预算平衡压力大，财政库款时常吃紧，三保压力巨大。三是政府债务风险依然严峻。政府债务还本付息压力大，财政艰难运行，偿债压力依然比较大；化债手段和资源越来越少。对此，我们一定高度重视，加强形势研判，切实采取开源节流措施，努力加以解决，恳请各位代表和委员一如既往地理解、支持和指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utoSpaceDE w:val="0"/>
        <w:autoSpaceDN w:val="0"/>
        <w:bidi w:val="0"/>
        <w:adjustRightInd w:val="0"/>
        <w:spacing w:before="0" w:beforeAutospacing="0" w:after="0" w:afterAutospacing="0" w:line="600" w:lineRule="exact"/>
        <w:ind w:left="0" w:right="0" w:firstLine="720"/>
        <w:jc w:val="both"/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</w:rPr>
        <w:t>三、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</w:rPr>
        <w:t>年财政预算及部门预算安排（草案）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2024年预算编制和财政工作的指导思想是：以习近平新时代中国特色社会主义思想为指导，深入贯彻党的二十大、二十届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auto"/>
          <w:spacing w:val="0"/>
          <w:w w:val="98"/>
          <w:kern w:val="2"/>
          <w:sz w:val="32"/>
          <w:szCs w:val="32"/>
          <w:lang w:val="en-US" w:eastAsia="zh-CN" w:bidi="ar-SA"/>
        </w:rPr>
        <w:t>二中全会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、中央、省、市、区经济工作会议精神，坚持稳中求进、以进促稳、先立后破，完整、准确、全面贯彻新发展理念，实施积极财政政策适度加力、提质增效，更加精准高效推进高质量发展。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2024年预算编制着重把握以下原则：一是厉行节约，保障重点。二是强化管理，硬化约束。三是突出绩效，提高效益。四是坚持底线，防范风险。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/>
        <w:jc w:val="both"/>
        <w:textAlignment w:val="baseline"/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w w:val="98"/>
          <w:sz w:val="32"/>
          <w:szCs w:val="32"/>
        </w:rPr>
      </w:pPr>
      <w:r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</w:rPr>
        <w:t>）一般公共预算草案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  <w:lang w:eastAsia="zh-CN"/>
        </w:rPr>
        <w:t>2024</w:t>
      </w:r>
      <w:r>
        <w:rPr>
          <w:rFonts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</w:rPr>
        <w:t>年，全区一般公共预算收入预计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  <w:lang w:val="en-US" w:eastAsia="zh-CN"/>
        </w:rPr>
        <w:t>25390</w:t>
      </w:r>
      <w:r>
        <w:rPr>
          <w:rFonts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</w:rPr>
        <w:t>万元，同比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  <w:lang w:eastAsia="zh-CN"/>
        </w:rPr>
        <w:t>增长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  <w:lang w:eastAsia="zh-CN"/>
        </w:rPr>
        <w:t>，其中税收收入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  <w:lang w:val="en-US" w:eastAsia="zh-CN"/>
        </w:rPr>
        <w:t>21500万元，非税收入3890万元。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both"/>
        <w:textAlignment w:val="baseline"/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auto"/>
          <w:spacing w:val="0"/>
          <w:w w:val="98"/>
          <w:sz w:val="27"/>
          <w:szCs w:val="27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  <w:lang w:eastAsia="zh-CN"/>
        </w:rPr>
        <w:t>2024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</w:rPr>
        <w:t>年安排一般公共预算总支出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  <w:lang w:val="en-US" w:eastAsia="zh-CN"/>
        </w:rPr>
        <w:t>47360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</w:rPr>
        <w:t>万元，其中三保支出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  <w:lang w:val="en-US" w:eastAsia="zh-CN"/>
        </w:rPr>
        <w:t>33260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highlight w:val="none"/>
          <w:shd w:val="clear" w:color="auto" w:fill="FFFFFF"/>
        </w:rPr>
        <w:t>万元。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3"/>
        <w:jc w:val="both"/>
        <w:textAlignment w:val="baseline"/>
        <w:rPr>
          <w:rFonts w:hint="default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" w:cs="楷体"/>
          <w:b/>
          <w:bCs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（二）2024年财政工作重点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9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一是稳字当头、稳中求进，在精细理财上加力提效。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立足税收、非税、产业“三条战线”，用好政策、督导，切实把财政“蛋糕”做大做优。全面贯彻落实积极财政政策，继续落实减税降费政策，加大实体经济支持力度，扶持中小微企业发展壮大，努力培植重点税源和新兴优质税源。统筹部门合力，扎实做好项目准备工作，加大对上协调对接，抓住窗口机遇，争取上级更多的项目和资金。强化税源分析，精准研判各行业税源数据，切实解决项目落地投产过程中的各类问题，力争完成2024年财政总收入目标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9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二是积极作为、量力而行，在保障民生上加力提效。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坚决落实以人民为中心的发展思想，聚焦人民群众需求，力求在社会保障、就业、医疗、教育等民生领域为社会提供兜底支持，确保民生支出占比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70%以上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。坚持尽力而为、量力而行，充分发挥财政职能，大力推进基本公共服务均等化；支持就业优先战略，支持教育事业高质量发展，健全社会保障政策体系，推进农业农村现代化，促进文旅产业协同发展。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6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仿宋"/>
          <w:b/>
          <w:bCs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三是系统谋划、纵深推进，在深化改革上加力提效。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坚持向改革要效益，通过创新制度机制、政策手段和管理方法，推动实现财政管理综合效能最大化。深化预算管理制度改革。健全预算安排与往年预算执行、绩效评价等结果挂钩机制。扎实推进预算管理一体化系统应用，财政管理规范化、科学化、标准化水平不断提高。深入开展专项检查，持续巩固财会监督工作成效，驰而不息严肃财经纪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9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四是稳妥有序、标本兼治，在防范风险上加力提效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。加强财政运行风险整体评估、系统监测、管理联动，牢牢守住不发生系统性区域性风险底线。落实党政机关习惯过紧日子要求，建立节约型财政保障机制，精准保障重点刚性支出，守住基层“三保”底线。坚持高压监管，树牢底线意识，强化债务风险管控，做好还本付息，积极化解存量债务，坚决遏制增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6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  <w:t>各位代表，2024年是全面贯彻落实党的二十大精神的关键之年，是实现“十四五”规划目标的冲刺之年，做好财政工作意义重大。财政部门将在区委、区政府的坚强领导下，认真落实人大会议决议，虚心听取政协意见建议，坚定信心、勇毅前行，奋力推动财政工作迈进新征程、开创新局面，以财政高质量发展服务全区高质量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26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snapToGrid w:val="0"/>
          <w:color w:val="auto"/>
          <w:spacing w:val="0"/>
          <w:w w:val="98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5" w:type="default"/>
      <w:pgSz w:w="11906" w:h="16838" w:orient="landscape"/>
      <w:pgMar w:top="1440" w:right="1800" w:bottom="1440" w:left="1800" w:header="0" w:footer="1213" w:gutter="0"/>
      <w:pgNumType w:fmt="numberInDash"/>
      <w:cols w:space="720" w:num="1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084"/>
      <w:rPr>
        <w:rFonts w:hint="eastAsia" w:ascii="Calibri" w:hAnsi="Calibri" w:eastAsia="宋体" w:cs="Calibri"/>
        <w:sz w:val="32"/>
        <w:szCs w:val="32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仿宋" w:hAnsi="仿宋" w:eastAsia="仿宋" w:cs="仿宋"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仿宋" w:hAnsi="仿宋" w:eastAsia="仿宋" w:cs="仿宋"/>
                        <w:color w:val="auto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auto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bookFoldPrinting w:val="1"/>
  <w:bookFoldPrintingSheets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zk3ZDUyMjE1ZjMwNmVmMTk0NmU3YjcxNjU2MGUifQ=="/>
    <w:docVar w:name="KSO_WPS_MARK_KEY" w:val="b907b665-c977-4c84-bdb6-30b037adbb1b"/>
  </w:docVars>
  <w:rsids>
    <w:rsidRoot w:val="45EE46F1"/>
    <w:rsid w:val="014253A5"/>
    <w:rsid w:val="0160261F"/>
    <w:rsid w:val="02E57F14"/>
    <w:rsid w:val="049F62E7"/>
    <w:rsid w:val="062475CD"/>
    <w:rsid w:val="06C158EB"/>
    <w:rsid w:val="0A596BF0"/>
    <w:rsid w:val="0D543789"/>
    <w:rsid w:val="0F1B4006"/>
    <w:rsid w:val="13144FF5"/>
    <w:rsid w:val="15932B49"/>
    <w:rsid w:val="16113A6D"/>
    <w:rsid w:val="18075128"/>
    <w:rsid w:val="1A383FE3"/>
    <w:rsid w:val="1C1A58AA"/>
    <w:rsid w:val="20174F44"/>
    <w:rsid w:val="24AA3A0B"/>
    <w:rsid w:val="29DC32FF"/>
    <w:rsid w:val="2C7E668C"/>
    <w:rsid w:val="2C8A034B"/>
    <w:rsid w:val="2D053ED4"/>
    <w:rsid w:val="2E521C08"/>
    <w:rsid w:val="333077D1"/>
    <w:rsid w:val="33BE6B8B"/>
    <w:rsid w:val="35123632"/>
    <w:rsid w:val="36034D29"/>
    <w:rsid w:val="362F5B1E"/>
    <w:rsid w:val="3689065C"/>
    <w:rsid w:val="3A4009AF"/>
    <w:rsid w:val="3A461688"/>
    <w:rsid w:val="3C5207B8"/>
    <w:rsid w:val="3CC039E6"/>
    <w:rsid w:val="3D324146"/>
    <w:rsid w:val="3EB72B54"/>
    <w:rsid w:val="40F409AC"/>
    <w:rsid w:val="43AE09CA"/>
    <w:rsid w:val="444A644B"/>
    <w:rsid w:val="44F73464"/>
    <w:rsid w:val="45EE46F1"/>
    <w:rsid w:val="46DA1AD6"/>
    <w:rsid w:val="48074FED"/>
    <w:rsid w:val="493F3E72"/>
    <w:rsid w:val="4FA709C3"/>
    <w:rsid w:val="53C90F08"/>
    <w:rsid w:val="54AD0D44"/>
    <w:rsid w:val="59681331"/>
    <w:rsid w:val="599F6ACB"/>
    <w:rsid w:val="5B195BCF"/>
    <w:rsid w:val="5C4B3703"/>
    <w:rsid w:val="5D843162"/>
    <w:rsid w:val="5F8D54E0"/>
    <w:rsid w:val="601E4C2C"/>
    <w:rsid w:val="608C5797"/>
    <w:rsid w:val="64254029"/>
    <w:rsid w:val="648A1E9F"/>
    <w:rsid w:val="64A27731"/>
    <w:rsid w:val="65B40802"/>
    <w:rsid w:val="66967370"/>
    <w:rsid w:val="67177ACE"/>
    <w:rsid w:val="680B1697"/>
    <w:rsid w:val="681A3FD0"/>
    <w:rsid w:val="6A2904FB"/>
    <w:rsid w:val="6AC369D9"/>
    <w:rsid w:val="6B6E3421"/>
    <w:rsid w:val="6F751AEC"/>
    <w:rsid w:val="6FE416D5"/>
    <w:rsid w:val="702E2354"/>
    <w:rsid w:val="72367553"/>
    <w:rsid w:val="7D0F1E45"/>
    <w:rsid w:val="7EF25630"/>
    <w:rsid w:val="7FAF2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Arial"/>
      <w:sz w:val="18"/>
      <w:szCs w:val="18"/>
    </w:rPr>
  </w:style>
  <w:style w:type="paragraph" w:styleId="6">
    <w:name w:val="Normal (Web)"/>
    <w:basedOn w:val="1"/>
    <w:next w:val="5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3418</Words>
  <Characters>3602</Characters>
  <Lines>0</Lines>
  <Paragraphs>0</Paragraphs>
  <TotalTime>66</TotalTime>
  <ScaleCrop>false</ScaleCrop>
  <LinksUpToDate>false</LinksUpToDate>
  <CharactersWithSpaces>3603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2024-01-19T02:22:00Z</dcterms:created>
  <dc:creator>Admin</dc:creator>
  <cp:lastModifiedBy>喝肉肉</cp:lastModifiedBy>
  <cp:lastPrinted>2024-02-19T08:43:00Z</cp:lastPrinted>
  <dcterms:modified xsi:type="dcterms:W3CDTF">2024-02-22T08:10:42Z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71854801DCCC48E9B496DF78F4D811A8_13</vt:lpwstr>
  </property>
</Properties>
</file>