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关于龙亭区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2021年财政决算（草案）和2022年上半年财政预算执行情况的报告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5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-2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——20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日在龙亭区第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十七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届人大常委会第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5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 xml:space="preserve">龙亭区财政局局长   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  <w:t>高鹏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5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主任、各位副主任、各位委员：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人民政府委托，向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人大常委会报告20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（草案）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2022年1-6月份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财政预算执行情况，请予审议。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2021年财政决算情况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40" w:lineRule="exact"/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  <w:t xml:space="preserve"> （一）一般公共预算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全区一般公共预算收入完成25426万元，为调整预算的100%，增长38.4%，加上上级转移支付等，收入总计61795万元。全区一般公共预算支出完成39199万元，为调整预算的83.13%， 加上上解市级、政府一般债务还本等，支出总计53841万元。收支相抵，结转下年7954万元。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区本级一般公共预算收入完成17711万元，为调整预算的 146.22%，同口径增长52.24%，加上上级转移支付等，收入总计54080万元。区本级一般公共预算支出完成37129万元，为调整预算的82.36%，下降30.99%，加上补助县区、政府一般债务还本等，支出总计46126万元。收支相抵，结转下年7954万元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40" w:lineRule="exact"/>
        <w:ind w:firstLine="840" w:firstLineChars="300"/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  <w:t>（二）政府性基金预算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2021年政府性基金支出年初预算为13万元，执行中因上级补助等，支出预算调整为50022万元，实际支出为46004万元，全部为上级追加指标，主要用于保障房周边基础设施建设征收、棚户区改造、冬春国土绿化等。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/>
        <w:autoSpaceDE w:val="0"/>
        <w:bidi w:val="0"/>
        <w:snapToGrid/>
        <w:spacing w:line="540" w:lineRule="exact"/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32"/>
          <w:szCs w:val="32"/>
          <w:highlight w:val="none"/>
          <w:lang w:val="en-US" w:eastAsia="zh-CN"/>
        </w:rPr>
        <w:t xml:space="preserve"> （三）2021年政府债务情况。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按照预算法规定，从2015年起，国家对政府债务余额实行限额管理，即年度政府债务余额不得突破批准的限额。省财政厅核定我区2021年政府债务限额134989万元，经区人大常委会批准，2021年全区政府债务限额134989万元。截至2021年底，全区政府债务余额134762万元，全区政府债务余额低于省财政厅核定的限额，政府债务风险总体可控。</w:t>
      </w:r>
    </w:p>
    <w:p>
      <w:pPr>
        <w:pStyle w:val="2"/>
        <w:keepNext w:val="0"/>
        <w:keepLines w:val="0"/>
        <w:pageBreakBefore w:val="0"/>
        <w:kinsoku/>
        <w:wordWrap/>
        <w:overflowPunct/>
        <w:bidi w:val="0"/>
        <w:snapToGrid/>
        <w:spacing w:after="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决算详细情况已在决算草案中说明。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二、20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年预算执行效果和落实人大预算决议情况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2021年，财政部门在严格贯彻《预算法》和《预算审查监督条例》的同时，全面落实各级重要决策部署，按照区人大批准的年初预算和有关决议要求，有效发挥财政职能作用，坚决兜牢“三保”底线，统筹疫情防控和经济发展，加大重点领域支持力度，确保全区经济社会平稳健康发展和民生持续改善。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一是全力以赴打赢防疫、灾后重建攻坚战。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严格贯彻上级有关决策部署，突出保障抗疫工作。始终把疫情防控摆在突出位置，切实扛起疫情防控资金保障责任，筹措资金1408万元，补充采购应急防疫储备物资、隔离酒店建设、疫苗接种等相关工作。全力以赴支持开展灾后重建，筹措资金752.18万元，用于冬春救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房屋修建、公路灾毁恢复重建、农业救灾等。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二是全力以赴抓好财政收入工作。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财税部门主动作为，密切关注经济形势变化和政策动向，加强分析研判和预测监控，努力减少因政策性因素形成的收入缺口，确保应收尽收。坚持依法综合治税，强化税源监控，杜绝跑冒滴漏，切实提高财政收入质量。及时梳理资金沉淀项目，收回各类结余和沉淀闲置结转资金。继续加大对政府非税收入征缴力度，各项收入及时足额清缴入库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三是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全力以赴抓好民生保障工作。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牢固树立“过紧日子”思想，强化预算约束和收支管理，兜牢兜实“三保”底线。2021年，民生支出达26572万元，占全区一般公共预算支出 67.79%。严格落实城乡居民养老保险、城乡低保提标政策，大力发展社区养老服务项目，支持居家社区养老服务站建设。支持发展更加公平更高质量的教育，加学前教育经费保障力度，支持县街幼儿园、新街口幼儿园柳园口分园建设。持续开展免费为困难人群体检、“两癌”“两筛”，持续做好残疾人以及妇女儿童健康保障工作。全力支持脱贫攻坚和乡村振兴有效衔接，做好惠农补贴发放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四是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instrText xml:space="preserve"> HYPERLINK "http://www.cnki.com.cn/Article/CJFDTotal-SCGG200601006.htm" </w:instrTex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持续推进各项财政改革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认真落实人大全过程预算监督有关要求，将政府全部收支预算纳入人大审查和监督范围。全面推进预算一体化系统，加强财政资金监管；全覆盖开展绩效评价工作，不断推动绩效管理提质增效。细化“一卡通”资金种类，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将城区低保对象补助、城区分散供养特困人员补助等补助资金全部纳入“一卡通”发放工作。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五是抓好债务风险防控。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建立健全还本付息常态化报告制度，全面抓好债务风险监测和排查，实行债务风险动态监控。多部门联动协作，积极争取国家政策支持，稳妥有序推进债务化解工作。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三、2022年上半年预算执行情况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 w:eastAsia="zh-CN" w:bidi="ar-SA"/>
        </w:rPr>
        <w:t>上半年，面对需求收缩、供给冲击、预期转弱宏观经济困难和疫情防控常态化、对企业留抵退税、政府债务付息等收支矛盾加剧多重压力，区财政统筹各级财政政策资源，大力加强财源建设，全面落实积极的财政政策，切实兜牢“三保”底线，预算执行情况总体较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1-6月份预算执行情况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一般预算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收入完成情况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1-6月份全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16803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万元,完成年初预算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18633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%,完成年初预算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政府性基金完成情况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1-6月份，全区政府性基金预算支出完成5188万元，为预算的57.5%，同比下降49.49%。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（二）下半年重点工作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以来，在面临经济基本面重度承压、减税降费政策持续加码、房地产区场遇冷下行、疫情防控等多重不利因素叠加影响下，财政主要数据不够理想，财政收支矛盾日益增加，财政将面临更多的困难和挑战。下半年，我们将严格按照区人大批准的预算，优化财政支出结构，坚持将“三保”放在首位。财政部门继续落实各项稳经济大盘政策及惠企惠民政策，助力我区经济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抓实收入组织，确保财政收支平衡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密切与税务、行业部门协调配合，不择不扣落实稳住经济大盘财税政策，确保各项收入依法征收、应收尽收。加大收入统筹力度，充分挖掘各种闲置资源潜力，盘活低效运转和闲置的存量资金；落实经济运行月例会制度，加大对乡办、预算单位收入的考核工作，组织开展全员招商引资活动，树立人人招商观念，着力培养可持续税源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优化支出结构。按照“应减尽减、应压必压、可延尽延、该禁必禁”的原则，从严从紧编制2022年部门预算，下大气力优化部门支出结构，集中财力办大事，大力压减非刚性、非重点支出，确保将有限的财力用在“刀刃上”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聚焦“一老一小一青壮”，坚持底线思维、优化支出结构，更加注重普惠性、 基础性、兜底性民生建设，着力破解民生“八需八难”，确保重点 民生支出需求合理增长。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严格财政管理。深化财政管理体制改革，提升预算全生命周期管理精细度，释放改革发展动能。加快推进预算管理一体化建设，注重用财效益，将绩效理念、要求和方法贯穿于预算管理全过程和财政工作各方面。全面落实基层“三保”责任，健全动态监控机制，坚持“三保”支出 在财政支出中的优先顺序，确保“三保”不出问题。持续化解地方政府隐性债务，牢牢守住不发生区域性、系统性风险的底线。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强化资金监管,着力提升资金绩效。继续深化预算绩效管理,将绩效理念深度融入预算管理全过程,以绩效作为预算管理核心,实现预算和绩效管理一体化,提高财政资源配置效率和使用效益。强化债务风险管控。牢牢守住防范系统性风险的底线,强化债务风险预警监测机制。扎实推进隐性债务化解工作,做好审计问题整改工作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主任、各位副主任、各位委员，下半年，我们将围绕全年预算目标，在区人大的监督指导下，加强预算执行管理，全力组织财政收入，统筹财力保障全区重点工作稳步推进，为我区经济社会健康平稳发展提供有力的财力支撑，为巩固经济稳定恢复向好态势做出更多贡献，以实际行动迎接党的二十大胜利召开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以上报告，请予审议。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4eff5b8b65704f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F50A6"/>
    <w:multiLevelType w:val="singleLevel"/>
    <w:tmpl w:val="635F50A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35F50E6"/>
    <w:multiLevelType w:val="singleLevel"/>
    <w:tmpl w:val="635F50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WEyZmE4NTIyYmQyMjZjZWI0MzdlZTU2NzBhOGEifQ=="/>
  </w:docVars>
  <w:rsids>
    <w:rsidRoot w:val="382B7947"/>
    <w:rsid w:val="02B7684F"/>
    <w:rsid w:val="02FF10DC"/>
    <w:rsid w:val="040767AF"/>
    <w:rsid w:val="061A6D0A"/>
    <w:rsid w:val="061C3BA8"/>
    <w:rsid w:val="06884BF6"/>
    <w:rsid w:val="083D4CF6"/>
    <w:rsid w:val="08BD20E2"/>
    <w:rsid w:val="09136BBA"/>
    <w:rsid w:val="094329E6"/>
    <w:rsid w:val="0BEE5C72"/>
    <w:rsid w:val="0C7E4103"/>
    <w:rsid w:val="0C7F5DF3"/>
    <w:rsid w:val="0CF14FA9"/>
    <w:rsid w:val="0F06558A"/>
    <w:rsid w:val="0FE8799C"/>
    <w:rsid w:val="12CB2C54"/>
    <w:rsid w:val="12E31674"/>
    <w:rsid w:val="172D3BD0"/>
    <w:rsid w:val="19266980"/>
    <w:rsid w:val="19840A8A"/>
    <w:rsid w:val="199676A8"/>
    <w:rsid w:val="19B13953"/>
    <w:rsid w:val="1C4111BB"/>
    <w:rsid w:val="1FF45BCD"/>
    <w:rsid w:val="228C3F9D"/>
    <w:rsid w:val="22C90722"/>
    <w:rsid w:val="24741705"/>
    <w:rsid w:val="24B95781"/>
    <w:rsid w:val="2A924D25"/>
    <w:rsid w:val="2C0379FB"/>
    <w:rsid w:val="2C9F1FBC"/>
    <w:rsid w:val="2E0E7972"/>
    <w:rsid w:val="2F1D07F7"/>
    <w:rsid w:val="30A818B0"/>
    <w:rsid w:val="322E2772"/>
    <w:rsid w:val="327A0857"/>
    <w:rsid w:val="32CB4D72"/>
    <w:rsid w:val="32EF3BD7"/>
    <w:rsid w:val="337577E5"/>
    <w:rsid w:val="338F535E"/>
    <w:rsid w:val="342C1818"/>
    <w:rsid w:val="373E24C2"/>
    <w:rsid w:val="382B7947"/>
    <w:rsid w:val="38BC65DE"/>
    <w:rsid w:val="39E623A0"/>
    <w:rsid w:val="3C3F11E7"/>
    <w:rsid w:val="3C646086"/>
    <w:rsid w:val="3C7F7C62"/>
    <w:rsid w:val="3E082494"/>
    <w:rsid w:val="3EB16C79"/>
    <w:rsid w:val="3F5F0C89"/>
    <w:rsid w:val="40427F8A"/>
    <w:rsid w:val="40675588"/>
    <w:rsid w:val="4275640C"/>
    <w:rsid w:val="451F7FBD"/>
    <w:rsid w:val="46942A02"/>
    <w:rsid w:val="471730DD"/>
    <w:rsid w:val="48C81535"/>
    <w:rsid w:val="48CF2274"/>
    <w:rsid w:val="49D6120C"/>
    <w:rsid w:val="4A041B10"/>
    <w:rsid w:val="4B46487E"/>
    <w:rsid w:val="4BE07C1E"/>
    <w:rsid w:val="4C7B36C8"/>
    <w:rsid w:val="4D47445E"/>
    <w:rsid w:val="4EDE000B"/>
    <w:rsid w:val="4F262823"/>
    <w:rsid w:val="50D61D83"/>
    <w:rsid w:val="52B83175"/>
    <w:rsid w:val="5561033F"/>
    <w:rsid w:val="5595791B"/>
    <w:rsid w:val="585C695B"/>
    <w:rsid w:val="58DB7EB0"/>
    <w:rsid w:val="59035687"/>
    <w:rsid w:val="597F1677"/>
    <w:rsid w:val="5AEC3B3B"/>
    <w:rsid w:val="5B6350EF"/>
    <w:rsid w:val="5CCD3BE1"/>
    <w:rsid w:val="5D435270"/>
    <w:rsid w:val="5D6275A8"/>
    <w:rsid w:val="5DAC2B67"/>
    <w:rsid w:val="5DBE6F08"/>
    <w:rsid w:val="5DDD0C13"/>
    <w:rsid w:val="633F2CEE"/>
    <w:rsid w:val="697132BB"/>
    <w:rsid w:val="6C164AAF"/>
    <w:rsid w:val="6C6936BE"/>
    <w:rsid w:val="6D3F13CE"/>
    <w:rsid w:val="6D9E349A"/>
    <w:rsid w:val="6FB915B3"/>
    <w:rsid w:val="71C73FC9"/>
    <w:rsid w:val="72C31B6A"/>
    <w:rsid w:val="73506FDB"/>
    <w:rsid w:val="75125395"/>
    <w:rsid w:val="75AA5329"/>
    <w:rsid w:val="764A4CAD"/>
    <w:rsid w:val="78D97337"/>
    <w:rsid w:val="78EF372E"/>
    <w:rsid w:val="7A3F4990"/>
    <w:rsid w:val="7D741B95"/>
    <w:rsid w:val="7E424146"/>
    <w:rsid w:val="7F9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paragraph" w:customStyle="1" w:styleId="17">
    <w:name w:val="内文"/>
    <w:basedOn w:val="1"/>
    <w:qFormat/>
    <w:uiPriority w:val="99"/>
    <w:pPr>
      <w:autoSpaceDE w:val="0"/>
      <w:autoSpaceDN w:val="0"/>
      <w:adjustRightInd w:val="0"/>
      <w:spacing w:line="592" w:lineRule="atLeast"/>
      <w:ind w:firstLine="624"/>
      <w:textAlignment w:val="center"/>
    </w:pPr>
    <w:rPr>
      <w:rFonts w:ascii="ATC-4eff5b8b65704f53" w:eastAsia="ATC-4eff5b8b65704f53" w:cs="ATC-4eff5b8b65704f53"/>
      <w:color w:val="000000"/>
      <w:kern w:val="0"/>
      <w:sz w:val="31"/>
      <w:szCs w:val="31"/>
      <w:lang w:val="zh-CN"/>
    </w:rPr>
  </w:style>
  <w:style w:type="character" w:customStyle="1" w:styleId="18">
    <w:name w:val="仿粗"/>
    <w:qFormat/>
    <w:uiPriority w:val="99"/>
    <w:rPr>
      <w:rFonts w:ascii="ATC-4eff5b8b65704f53" w:eastAsia="ATC-4eff5b8b65704f53" w:cs="ATC-4eff5b8b65704f53"/>
      <w:sz w:val="31"/>
      <w:szCs w:val="31"/>
    </w:rPr>
  </w:style>
  <w:style w:type="character" w:customStyle="1" w:styleId="19">
    <w:name w:val="zyname"/>
    <w:basedOn w:val="7"/>
    <w:qFormat/>
    <w:uiPriority w:val="0"/>
    <w:rPr>
      <w:sz w:val="27"/>
      <w:szCs w:val="27"/>
      <w:shd w:val="clear" w:fill="008BE3"/>
    </w:rPr>
  </w:style>
  <w:style w:type="character" w:customStyle="1" w:styleId="20">
    <w:name w:val="bsharetext"/>
    <w:basedOn w:val="7"/>
    <w:qFormat/>
    <w:uiPriority w:val="0"/>
  </w:style>
  <w:style w:type="character" w:customStyle="1" w:styleId="21">
    <w:name w:val="sta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2847</Words>
  <Characters>3058</Characters>
  <Lines>0</Lines>
  <Paragraphs>0</Paragraphs>
  <TotalTime>18</TotalTime>
  <ScaleCrop>false</ScaleCrop>
  <LinksUpToDate>false</LinksUpToDate>
  <CharactersWithSpaces>3073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2019-07-15T09:03:00Z</dcterms:created>
  <dc:creator>Administrator</dc:creator>
  <cp:lastModifiedBy>A_mumu</cp:lastModifiedBy>
  <cp:lastPrinted>2022-09-14T04:38:00Z</cp:lastPrinted>
  <dcterms:modified xsi:type="dcterms:W3CDTF">2023-02-21T02:54:46Z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EE9B6ABC8033443C86292FE568532B34</vt:lpwstr>
  </property>
</Properties>
</file>